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E5ACF">
      <w:pPr>
        <w:spacing w:before="159" w:beforeLines="50" w:after="159" w:afterLines="50" w:line="500" w:lineRule="exact"/>
        <w:jc w:val="center"/>
        <w:rPr>
          <w:rFonts w:hint="eastAsia" w:ascii="宋体" w:hAnsi="宋体"/>
          <w:b/>
          <w:sz w:val="44"/>
          <w:szCs w:val="44"/>
        </w:rPr>
      </w:pPr>
      <w:r>
        <w:rPr>
          <w:rFonts w:hint="eastAsia" w:ascii="宋体" w:hAnsi="宋体"/>
          <w:b/>
          <w:sz w:val="44"/>
          <w:szCs w:val="44"/>
        </w:rPr>
        <w:t>团体标准《五指毛桃露酒生产技术规程》</w:t>
      </w:r>
    </w:p>
    <w:p w14:paraId="1E6E1FA8">
      <w:pPr>
        <w:spacing w:before="159" w:beforeLines="50" w:after="159" w:afterLines="50" w:line="500" w:lineRule="exact"/>
        <w:jc w:val="center"/>
        <w:rPr>
          <w:rFonts w:ascii="宋体" w:hAnsi="宋体"/>
          <w:b/>
          <w:sz w:val="44"/>
          <w:szCs w:val="44"/>
        </w:rPr>
      </w:pPr>
      <w:r>
        <w:rPr>
          <w:rFonts w:hint="eastAsia" w:ascii="宋体" w:hAnsi="宋体"/>
          <w:b/>
          <w:sz w:val="44"/>
          <w:szCs w:val="44"/>
        </w:rPr>
        <w:t>（征求意见稿）编制说明</w:t>
      </w:r>
    </w:p>
    <w:p w14:paraId="5ABD728D">
      <w:pPr>
        <w:spacing w:before="159" w:beforeLines="50" w:after="159" w:afterLines="50" w:line="500" w:lineRule="exact"/>
        <w:rPr>
          <w:rFonts w:ascii="黑体" w:hAnsi="黑体" w:eastAsia="黑体"/>
          <w:sz w:val="24"/>
        </w:rPr>
      </w:pPr>
    </w:p>
    <w:p w14:paraId="1FB09E53">
      <w:pPr>
        <w:spacing w:line="500" w:lineRule="exact"/>
        <w:jc w:val="left"/>
        <w:outlineLvl w:val="0"/>
        <w:rPr>
          <w:rFonts w:ascii="黑体" w:hAnsi="黑体" w:eastAsia="黑体"/>
          <w:sz w:val="32"/>
          <w:szCs w:val="32"/>
        </w:rPr>
      </w:pPr>
      <w:r>
        <w:rPr>
          <w:rFonts w:hint="eastAsia" w:ascii="黑体" w:hAnsi="黑体" w:eastAsia="黑体"/>
          <w:sz w:val="32"/>
          <w:szCs w:val="32"/>
        </w:rPr>
        <w:t>一、</w:t>
      </w:r>
      <w:r>
        <w:rPr>
          <w:rFonts w:hint="eastAsia" w:ascii="黑体" w:hAnsi="黑体" w:eastAsia="黑体" w:cs="仿宋_GB2312"/>
          <w:sz w:val="32"/>
          <w:szCs w:val="32"/>
        </w:rPr>
        <w:t>项目来源、</w:t>
      </w:r>
      <w:r>
        <w:rPr>
          <w:rFonts w:hint="eastAsia" w:eastAsia="黑体"/>
          <w:bCs/>
          <w:sz w:val="32"/>
          <w:szCs w:val="32"/>
          <w:lang w:bidi="ar"/>
        </w:rPr>
        <w:t>起草单位、主要起草人</w:t>
      </w:r>
    </w:p>
    <w:p w14:paraId="2C5B0659">
      <w:pPr>
        <w:spacing w:line="500" w:lineRule="exact"/>
        <w:ind w:firstLine="606" w:firstLineChars="200"/>
        <w:rPr>
          <w:rFonts w:ascii="仿宋_GB2312" w:hAnsi="宋体" w:eastAsia="仿宋_GB2312"/>
          <w:color w:val="000000"/>
          <w:sz w:val="30"/>
          <w:szCs w:val="30"/>
        </w:rPr>
      </w:pPr>
      <w:r>
        <w:rPr>
          <w:rFonts w:hint="eastAsia" w:ascii="仿宋_GB2312" w:hAnsi="宋体" w:eastAsia="仿宋_GB2312"/>
          <w:color w:val="000000"/>
          <w:sz w:val="30"/>
          <w:szCs w:val="30"/>
        </w:rPr>
        <w:t>根据《广西标准化协会关于下达2025年第三十八批团体标准制修订项目计划的通知》（桂标协〔2025〕332号）精神，由广西农业职业技术大学提出，广西－东盟食品检验检测中心[国家市场监督管理总局技术创新中心（天然香料香精）]、南宁职业技术大学、培力（南宁）药业有限公司、广西国际商务职业技术学院、广西壮族自治区产品质量检验研究院、广西生态工程职业技术学院、广西云庭汇餐饮管理有限公司等单位共同起草的团体标准《五指毛桃露酒生产技术规程》（项目编号2025-3816），已获批立项。</w:t>
      </w:r>
    </w:p>
    <w:p w14:paraId="0B635B01">
      <w:pPr>
        <w:spacing w:line="500" w:lineRule="exact"/>
        <w:ind w:firstLine="606" w:firstLineChars="200"/>
        <w:jc w:val="left"/>
        <w:rPr>
          <w:rFonts w:ascii="仿宋_GB2312" w:hAnsi="宋体" w:eastAsia="仿宋_GB2312"/>
          <w:color w:val="000000"/>
          <w:sz w:val="30"/>
          <w:szCs w:val="30"/>
        </w:rPr>
      </w:pPr>
      <w:r>
        <w:rPr>
          <w:rFonts w:hint="eastAsia" w:eastAsia="仿宋_GB2312"/>
          <w:sz w:val="30"/>
          <w:szCs w:val="30"/>
        </w:rPr>
        <w:t>为高质量编制团体标准《</w:t>
      </w:r>
      <w:r>
        <w:rPr>
          <w:rFonts w:hint="eastAsia" w:ascii="仿宋_GB2312" w:hAnsi="宋体" w:eastAsia="仿宋_GB2312"/>
          <w:color w:val="000000"/>
          <w:sz w:val="30"/>
          <w:szCs w:val="30"/>
        </w:rPr>
        <w:t>五指毛桃露酒生产技术规程</w:t>
      </w:r>
      <w:r>
        <w:rPr>
          <w:rFonts w:hint="eastAsia" w:eastAsia="仿宋_GB2312"/>
          <w:sz w:val="30"/>
          <w:szCs w:val="30"/>
        </w:rPr>
        <w:t>》，由起草单位成立标准编制工作组并进行如下分工：</w:t>
      </w:r>
    </w:p>
    <w:tbl>
      <w:tblPr>
        <w:tblStyle w:val="1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7"/>
        <w:gridCol w:w="3686"/>
        <w:gridCol w:w="1919"/>
        <w:gridCol w:w="1653"/>
      </w:tblGrid>
      <w:tr w14:paraId="4ED98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tcPr>
          <w:p w14:paraId="3C24C806">
            <w:pPr>
              <w:rPr>
                <w:rFonts w:ascii="仿宋_GB2312" w:hAnsi="宋体" w:eastAsia="仿宋_GB2312"/>
                <w:b/>
                <w:bCs/>
                <w:color w:val="000000"/>
                <w:sz w:val="32"/>
                <w:szCs w:val="32"/>
              </w:rPr>
            </w:pPr>
            <w:r>
              <w:rPr>
                <w:rFonts w:hint="eastAsia" w:ascii="仿宋_GB2312" w:hAnsi="宋体" w:eastAsia="仿宋_GB2312"/>
                <w:b/>
                <w:bCs/>
                <w:color w:val="000000"/>
                <w:sz w:val="32"/>
                <w:szCs w:val="32"/>
              </w:rPr>
              <w:t>姓名</w:t>
            </w:r>
          </w:p>
        </w:tc>
        <w:tc>
          <w:tcPr>
            <w:tcW w:w="3686" w:type="dxa"/>
          </w:tcPr>
          <w:p w14:paraId="719FFF54">
            <w:pPr>
              <w:rPr>
                <w:rFonts w:ascii="仿宋_GB2312" w:hAnsi="宋体" w:eastAsia="仿宋_GB2312"/>
                <w:b/>
                <w:bCs/>
                <w:color w:val="000000"/>
                <w:sz w:val="32"/>
                <w:szCs w:val="32"/>
              </w:rPr>
            </w:pPr>
            <w:r>
              <w:rPr>
                <w:rFonts w:hint="eastAsia" w:ascii="仿宋_GB2312" w:hAnsi="宋体" w:eastAsia="仿宋_GB2312"/>
                <w:b/>
                <w:bCs/>
                <w:color w:val="000000"/>
                <w:sz w:val="32"/>
                <w:szCs w:val="32"/>
              </w:rPr>
              <w:t>单位</w:t>
            </w:r>
          </w:p>
        </w:tc>
        <w:tc>
          <w:tcPr>
            <w:tcW w:w="1919" w:type="dxa"/>
          </w:tcPr>
          <w:p w14:paraId="59D2D05F">
            <w:pPr>
              <w:rPr>
                <w:rFonts w:ascii="仿宋_GB2312" w:hAnsi="宋体" w:eastAsia="仿宋_GB2312"/>
                <w:b/>
                <w:bCs/>
                <w:color w:val="000000"/>
                <w:sz w:val="32"/>
                <w:szCs w:val="32"/>
              </w:rPr>
            </w:pPr>
            <w:r>
              <w:rPr>
                <w:rFonts w:hint="eastAsia" w:ascii="仿宋_GB2312" w:hAnsi="宋体" w:eastAsia="仿宋_GB2312"/>
                <w:b/>
                <w:bCs/>
                <w:color w:val="000000"/>
                <w:sz w:val="32"/>
                <w:szCs w:val="32"/>
              </w:rPr>
              <w:t>职称或职务</w:t>
            </w:r>
          </w:p>
        </w:tc>
        <w:tc>
          <w:tcPr>
            <w:tcW w:w="1653" w:type="dxa"/>
          </w:tcPr>
          <w:p w14:paraId="7066321B">
            <w:pPr>
              <w:rPr>
                <w:rFonts w:ascii="仿宋_GB2312" w:hAnsi="宋体" w:eastAsia="仿宋_GB2312"/>
                <w:b/>
                <w:bCs/>
                <w:color w:val="000000"/>
                <w:sz w:val="32"/>
                <w:szCs w:val="32"/>
              </w:rPr>
            </w:pPr>
            <w:r>
              <w:rPr>
                <w:rFonts w:hint="eastAsia" w:ascii="仿宋_GB2312" w:hAnsi="宋体" w:eastAsia="仿宋_GB2312"/>
                <w:b/>
                <w:bCs/>
                <w:color w:val="000000"/>
                <w:sz w:val="32"/>
                <w:szCs w:val="32"/>
              </w:rPr>
              <w:t>责任分工</w:t>
            </w:r>
          </w:p>
        </w:tc>
      </w:tr>
      <w:tr w14:paraId="7960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155C2F3E">
            <w:pPr>
              <w:rPr>
                <w:rFonts w:ascii="仿宋_GB2312" w:hAnsi="宋体" w:eastAsia="仿宋_GB2312"/>
                <w:color w:val="000000"/>
                <w:sz w:val="24"/>
              </w:rPr>
            </w:pPr>
            <w:r>
              <w:rPr>
                <w:rFonts w:hint="eastAsia" w:ascii="宋体" w:hAnsi="宋体" w:eastAsiaTheme="minorEastAsia" w:cstheme="minorBidi"/>
                <w:szCs w:val="21"/>
              </w:rPr>
              <w:t>粟华生</w:t>
            </w:r>
          </w:p>
        </w:tc>
        <w:tc>
          <w:tcPr>
            <w:tcW w:w="3686" w:type="dxa"/>
            <w:vAlign w:val="center"/>
          </w:tcPr>
          <w:p w14:paraId="4EC9864A">
            <w:pPr>
              <w:rPr>
                <w:rFonts w:ascii="仿宋_GB2312" w:hAnsi="宋体" w:eastAsia="仿宋_GB2312"/>
                <w:color w:val="000000"/>
                <w:sz w:val="24"/>
              </w:rPr>
            </w:pPr>
            <w:r>
              <w:rPr>
                <w:rFonts w:hint="eastAsia" w:ascii="宋体" w:hAnsi="宋体" w:eastAsiaTheme="minorEastAsia" w:cstheme="minorBidi"/>
                <w:szCs w:val="21"/>
              </w:rPr>
              <w:t>广西农业职业技术大学</w:t>
            </w:r>
          </w:p>
        </w:tc>
        <w:tc>
          <w:tcPr>
            <w:tcW w:w="1919" w:type="dxa"/>
            <w:vAlign w:val="center"/>
          </w:tcPr>
          <w:p w14:paraId="50933E3C">
            <w:pPr>
              <w:rPr>
                <w:rFonts w:ascii="仿宋_GB2312" w:hAnsi="宋体" w:eastAsia="仿宋_GB2312"/>
                <w:color w:val="000000"/>
                <w:sz w:val="24"/>
              </w:rPr>
            </w:pPr>
            <w:r>
              <w:rPr>
                <w:rFonts w:hint="eastAsia" w:ascii="宋体" w:hAnsi="宋体" w:cstheme="minorBidi"/>
                <w:szCs w:val="21"/>
              </w:rPr>
              <w:t>教授</w:t>
            </w:r>
          </w:p>
        </w:tc>
        <w:tc>
          <w:tcPr>
            <w:tcW w:w="1653" w:type="dxa"/>
            <w:vAlign w:val="center"/>
          </w:tcPr>
          <w:p w14:paraId="160C34B6">
            <w:pPr>
              <w:rPr>
                <w:rFonts w:ascii="仿宋_GB2312" w:hAnsi="宋体" w:eastAsia="仿宋_GB2312"/>
                <w:color w:val="000000"/>
                <w:sz w:val="24"/>
              </w:rPr>
            </w:pPr>
            <w:r>
              <w:rPr>
                <w:rFonts w:ascii="宋体" w:hAnsi="宋体"/>
                <w:szCs w:val="21"/>
              </w:rPr>
              <w:t xml:space="preserve"> </w:t>
            </w:r>
            <w:r>
              <w:rPr>
                <w:rFonts w:hint="eastAsia" w:ascii="宋体" w:hAnsi="宋体"/>
                <w:szCs w:val="21"/>
              </w:rPr>
              <w:t>主持</w:t>
            </w:r>
          </w:p>
        </w:tc>
      </w:tr>
      <w:tr w14:paraId="320AB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37367F17">
            <w:pPr>
              <w:rPr>
                <w:rFonts w:ascii="仿宋_GB2312" w:hAnsi="宋体" w:eastAsia="仿宋_GB2312"/>
                <w:color w:val="000000"/>
                <w:sz w:val="24"/>
              </w:rPr>
            </w:pPr>
            <w:r>
              <w:rPr>
                <w:rFonts w:hint="eastAsia" w:ascii="宋体" w:hAnsi="宋体"/>
                <w:szCs w:val="21"/>
              </w:rPr>
              <w:t>谭文慧</w:t>
            </w:r>
          </w:p>
        </w:tc>
        <w:tc>
          <w:tcPr>
            <w:tcW w:w="3686" w:type="dxa"/>
            <w:vAlign w:val="center"/>
          </w:tcPr>
          <w:p w14:paraId="2067547B">
            <w:pPr>
              <w:rPr>
                <w:rFonts w:ascii="仿宋_GB2312" w:hAnsi="宋体" w:eastAsia="仿宋_GB2312"/>
                <w:color w:val="000000"/>
                <w:sz w:val="24"/>
              </w:rPr>
            </w:pPr>
            <w:r>
              <w:rPr>
                <w:rFonts w:hint="eastAsia" w:ascii="宋体" w:hAnsi="宋体" w:eastAsiaTheme="minorEastAsia" w:cstheme="minorBidi"/>
                <w:szCs w:val="21"/>
              </w:rPr>
              <w:t>广西—东盟食品检验检测中心</w:t>
            </w:r>
          </w:p>
        </w:tc>
        <w:tc>
          <w:tcPr>
            <w:tcW w:w="1919" w:type="dxa"/>
            <w:vAlign w:val="center"/>
          </w:tcPr>
          <w:p w14:paraId="7F225FDD">
            <w:pPr>
              <w:rPr>
                <w:rFonts w:ascii="仿宋_GB2312" w:hAnsi="宋体" w:eastAsia="仿宋_GB2312"/>
                <w:color w:val="000000"/>
                <w:sz w:val="24"/>
              </w:rPr>
            </w:pPr>
            <w:r>
              <w:rPr>
                <w:rFonts w:hint="eastAsia" w:ascii="宋体" w:hAnsi="宋体"/>
                <w:szCs w:val="21"/>
              </w:rPr>
              <w:t>工程师</w:t>
            </w:r>
          </w:p>
        </w:tc>
        <w:tc>
          <w:tcPr>
            <w:tcW w:w="1653" w:type="dxa"/>
            <w:vAlign w:val="center"/>
          </w:tcPr>
          <w:p w14:paraId="4F216807">
            <w:pPr>
              <w:rPr>
                <w:rFonts w:ascii="仿宋_GB2312" w:hAnsi="宋体" w:eastAsia="仿宋_GB2312"/>
                <w:color w:val="000000"/>
                <w:sz w:val="24"/>
              </w:rPr>
            </w:pPr>
            <w:r>
              <w:rPr>
                <w:rFonts w:hint="eastAsia" w:ascii="宋体" w:hAnsi="宋体"/>
                <w:szCs w:val="21"/>
              </w:rPr>
              <w:t>方法开发</w:t>
            </w:r>
          </w:p>
        </w:tc>
      </w:tr>
      <w:tr w14:paraId="192D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2F67ACDC">
            <w:pPr>
              <w:rPr>
                <w:rFonts w:ascii="仿宋_GB2312" w:hAnsi="宋体" w:eastAsia="仿宋_GB2312"/>
                <w:color w:val="000000"/>
                <w:sz w:val="24"/>
              </w:rPr>
            </w:pPr>
            <w:r>
              <w:rPr>
                <w:rFonts w:hint="eastAsia" w:ascii="宋体" w:hAnsi="宋体"/>
                <w:szCs w:val="21"/>
              </w:rPr>
              <w:t>冯婷</w:t>
            </w:r>
          </w:p>
        </w:tc>
        <w:tc>
          <w:tcPr>
            <w:tcW w:w="3686" w:type="dxa"/>
            <w:vAlign w:val="center"/>
          </w:tcPr>
          <w:p w14:paraId="12BDA6E5">
            <w:pPr>
              <w:rPr>
                <w:rFonts w:ascii="仿宋_GB2312" w:hAnsi="宋体" w:eastAsia="仿宋_GB2312"/>
                <w:color w:val="000000"/>
                <w:sz w:val="24"/>
              </w:rPr>
            </w:pPr>
            <w:r>
              <w:rPr>
                <w:rFonts w:hint="eastAsia" w:ascii="宋体" w:hAnsi="宋体" w:eastAsiaTheme="minorEastAsia" w:cstheme="minorBidi"/>
                <w:szCs w:val="21"/>
              </w:rPr>
              <w:t>广西—东盟食品检验检测中心</w:t>
            </w:r>
          </w:p>
        </w:tc>
        <w:tc>
          <w:tcPr>
            <w:tcW w:w="1919" w:type="dxa"/>
            <w:vAlign w:val="center"/>
          </w:tcPr>
          <w:p w14:paraId="2DE3D296">
            <w:pPr>
              <w:rPr>
                <w:rFonts w:ascii="仿宋_GB2312" w:hAnsi="宋体" w:eastAsia="仿宋_GB2312"/>
                <w:color w:val="000000"/>
                <w:sz w:val="24"/>
              </w:rPr>
            </w:pPr>
            <w:r>
              <w:rPr>
                <w:rFonts w:hint="eastAsia" w:ascii="宋体" w:hAnsi="宋体"/>
                <w:szCs w:val="21"/>
              </w:rPr>
              <w:t>主管药师</w:t>
            </w:r>
          </w:p>
        </w:tc>
        <w:tc>
          <w:tcPr>
            <w:tcW w:w="1653" w:type="dxa"/>
            <w:vAlign w:val="center"/>
          </w:tcPr>
          <w:p w14:paraId="37E72223">
            <w:pPr>
              <w:rPr>
                <w:rFonts w:ascii="仿宋_GB2312" w:hAnsi="宋体" w:eastAsia="仿宋_GB2312"/>
                <w:color w:val="000000"/>
                <w:sz w:val="24"/>
              </w:rPr>
            </w:pPr>
            <w:r>
              <w:rPr>
                <w:rFonts w:hint="eastAsia" w:ascii="宋体" w:hAnsi="宋体"/>
                <w:szCs w:val="21"/>
              </w:rPr>
              <w:t>参与编制</w:t>
            </w:r>
          </w:p>
        </w:tc>
      </w:tr>
      <w:tr w14:paraId="6828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128F0927">
            <w:pPr>
              <w:rPr>
                <w:rFonts w:ascii="仿宋_GB2312" w:hAnsi="宋体" w:eastAsia="仿宋_GB2312"/>
                <w:color w:val="000000"/>
                <w:sz w:val="24"/>
              </w:rPr>
            </w:pPr>
            <w:r>
              <w:rPr>
                <w:rFonts w:hint="eastAsia" w:ascii="宋体" w:hAnsi="宋体" w:cstheme="minorBidi"/>
                <w:szCs w:val="21"/>
              </w:rPr>
              <w:t>韦婷双</w:t>
            </w:r>
          </w:p>
        </w:tc>
        <w:tc>
          <w:tcPr>
            <w:tcW w:w="3686" w:type="dxa"/>
            <w:vAlign w:val="center"/>
          </w:tcPr>
          <w:p w14:paraId="5A1CE67E">
            <w:pPr>
              <w:rPr>
                <w:rFonts w:ascii="仿宋_GB2312" w:hAnsi="宋体" w:eastAsia="仿宋_GB2312"/>
                <w:color w:val="000000"/>
                <w:sz w:val="24"/>
              </w:rPr>
            </w:pPr>
            <w:r>
              <w:rPr>
                <w:rFonts w:hint="eastAsia" w:ascii="宋体" w:hAnsi="宋体" w:cstheme="minorBidi"/>
                <w:szCs w:val="21"/>
              </w:rPr>
              <w:t>广西国际商务职业技术学院</w:t>
            </w:r>
          </w:p>
        </w:tc>
        <w:tc>
          <w:tcPr>
            <w:tcW w:w="1919" w:type="dxa"/>
            <w:vAlign w:val="center"/>
          </w:tcPr>
          <w:p w14:paraId="5C32F6F1">
            <w:pPr>
              <w:rPr>
                <w:rFonts w:ascii="仿宋_GB2312" w:hAnsi="宋体" w:eastAsia="仿宋_GB2312"/>
                <w:color w:val="000000"/>
                <w:sz w:val="24"/>
              </w:rPr>
            </w:pPr>
            <w:r>
              <w:rPr>
                <w:rFonts w:hint="eastAsia" w:ascii="宋体" w:hAnsi="宋体" w:cstheme="minorBidi"/>
                <w:szCs w:val="21"/>
              </w:rPr>
              <w:t>助理研究员</w:t>
            </w:r>
          </w:p>
        </w:tc>
        <w:tc>
          <w:tcPr>
            <w:tcW w:w="1653" w:type="dxa"/>
            <w:vAlign w:val="center"/>
          </w:tcPr>
          <w:p w14:paraId="3B2E9B41">
            <w:pPr>
              <w:rPr>
                <w:rFonts w:ascii="仿宋_GB2312" w:hAnsi="宋体" w:eastAsia="仿宋_GB2312"/>
                <w:color w:val="000000"/>
                <w:sz w:val="24"/>
              </w:rPr>
            </w:pPr>
            <w:r>
              <w:rPr>
                <w:rFonts w:hint="eastAsia" w:ascii="宋体" w:hAnsi="宋体"/>
                <w:szCs w:val="21"/>
              </w:rPr>
              <w:t>方法开发</w:t>
            </w:r>
          </w:p>
        </w:tc>
      </w:tr>
      <w:tr w14:paraId="4D18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784B9328">
            <w:pPr>
              <w:rPr>
                <w:rFonts w:ascii="仿宋_GB2312" w:hAnsi="宋体" w:eastAsia="仿宋_GB2312"/>
                <w:color w:val="000000"/>
                <w:sz w:val="24"/>
              </w:rPr>
            </w:pPr>
            <w:r>
              <w:rPr>
                <w:rFonts w:hint="eastAsia" w:ascii="宋体" w:hAnsi="宋体" w:cstheme="minorBidi"/>
                <w:szCs w:val="21"/>
              </w:rPr>
              <w:t>万国越</w:t>
            </w:r>
          </w:p>
        </w:tc>
        <w:tc>
          <w:tcPr>
            <w:tcW w:w="3686" w:type="dxa"/>
            <w:vAlign w:val="center"/>
          </w:tcPr>
          <w:p w14:paraId="7244204C">
            <w:pPr>
              <w:rPr>
                <w:rFonts w:ascii="仿宋_GB2312" w:hAnsi="宋体" w:eastAsia="仿宋_GB2312"/>
                <w:color w:val="000000"/>
                <w:sz w:val="24"/>
              </w:rPr>
            </w:pPr>
            <w:r>
              <w:rPr>
                <w:rFonts w:hint="eastAsia" w:ascii="宋体" w:hAnsi="宋体"/>
                <w:szCs w:val="21"/>
              </w:rPr>
              <w:t>广西壮族自治区产品质量检验研究院</w:t>
            </w:r>
          </w:p>
        </w:tc>
        <w:tc>
          <w:tcPr>
            <w:tcW w:w="1919" w:type="dxa"/>
            <w:vAlign w:val="center"/>
          </w:tcPr>
          <w:p w14:paraId="67CD2EE9">
            <w:pPr>
              <w:rPr>
                <w:rFonts w:ascii="仿宋_GB2312" w:hAnsi="宋体" w:eastAsia="仿宋_GB2312"/>
                <w:color w:val="000000"/>
                <w:sz w:val="24"/>
              </w:rPr>
            </w:pPr>
            <w:r>
              <w:rPr>
                <w:rFonts w:hint="eastAsia" w:ascii="宋体" w:hAnsi="宋体"/>
                <w:szCs w:val="21"/>
              </w:rPr>
              <w:t>工程师</w:t>
            </w:r>
          </w:p>
        </w:tc>
        <w:tc>
          <w:tcPr>
            <w:tcW w:w="1653" w:type="dxa"/>
            <w:vAlign w:val="center"/>
          </w:tcPr>
          <w:p w14:paraId="20B3C749">
            <w:pPr>
              <w:rPr>
                <w:rFonts w:ascii="仿宋_GB2312" w:hAnsi="宋体" w:eastAsia="仿宋_GB2312"/>
                <w:color w:val="000000"/>
                <w:sz w:val="24"/>
              </w:rPr>
            </w:pPr>
            <w:r>
              <w:rPr>
                <w:rFonts w:ascii="宋体" w:hAnsi="宋体"/>
                <w:szCs w:val="21"/>
              </w:rPr>
              <w:t>参与编制</w:t>
            </w:r>
          </w:p>
        </w:tc>
      </w:tr>
      <w:tr w14:paraId="1F70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395F66E8">
            <w:pPr>
              <w:rPr>
                <w:rFonts w:ascii="仿宋_GB2312" w:hAnsi="宋体" w:eastAsia="仿宋_GB2312"/>
                <w:color w:val="000000"/>
                <w:sz w:val="24"/>
              </w:rPr>
            </w:pPr>
            <w:r>
              <w:rPr>
                <w:rFonts w:hint="eastAsia" w:ascii="宋体" w:hAnsi="宋体"/>
                <w:szCs w:val="21"/>
              </w:rPr>
              <w:t>杨磊</w:t>
            </w:r>
          </w:p>
        </w:tc>
        <w:tc>
          <w:tcPr>
            <w:tcW w:w="3686" w:type="dxa"/>
            <w:vAlign w:val="center"/>
          </w:tcPr>
          <w:p w14:paraId="2FAB689C">
            <w:pPr>
              <w:rPr>
                <w:rFonts w:ascii="仿宋_GB2312" w:hAnsi="宋体" w:eastAsia="仿宋_GB2312"/>
                <w:color w:val="000000"/>
                <w:sz w:val="24"/>
              </w:rPr>
            </w:pPr>
            <w:r>
              <w:rPr>
                <w:rFonts w:hint="eastAsia" w:ascii="宋体" w:hAnsi="宋体"/>
                <w:szCs w:val="21"/>
              </w:rPr>
              <w:t>南宁职业技术大学</w:t>
            </w:r>
          </w:p>
        </w:tc>
        <w:tc>
          <w:tcPr>
            <w:tcW w:w="1919" w:type="dxa"/>
            <w:vAlign w:val="center"/>
          </w:tcPr>
          <w:p w14:paraId="240E68C7">
            <w:pPr>
              <w:rPr>
                <w:rFonts w:ascii="仿宋_GB2312" w:hAnsi="宋体" w:eastAsia="仿宋_GB2312"/>
                <w:color w:val="000000"/>
                <w:sz w:val="24"/>
              </w:rPr>
            </w:pPr>
            <w:r>
              <w:rPr>
                <w:rFonts w:hint="eastAsia" w:ascii="宋体" w:hAnsi="宋体" w:eastAsiaTheme="minorEastAsia"/>
                <w:szCs w:val="21"/>
              </w:rPr>
              <w:t>教授</w:t>
            </w:r>
          </w:p>
        </w:tc>
        <w:tc>
          <w:tcPr>
            <w:tcW w:w="1653" w:type="dxa"/>
            <w:vAlign w:val="center"/>
          </w:tcPr>
          <w:p w14:paraId="0136100C">
            <w:pPr>
              <w:rPr>
                <w:rFonts w:ascii="仿宋_GB2312" w:hAnsi="宋体" w:eastAsia="仿宋_GB2312"/>
                <w:color w:val="000000"/>
                <w:sz w:val="24"/>
              </w:rPr>
            </w:pPr>
            <w:r>
              <w:rPr>
                <w:rFonts w:hint="eastAsia" w:ascii="宋体" w:hAnsi="宋体"/>
                <w:szCs w:val="21"/>
              </w:rPr>
              <w:t>方法开发</w:t>
            </w:r>
          </w:p>
        </w:tc>
      </w:tr>
      <w:tr w14:paraId="7A942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5D454B3D">
            <w:pPr>
              <w:rPr>
                <w:rFonts w:ascii="仿宋_GB2312" w:hAnsi="宋体" w:eastAsia="仿宋_GB2312"/>
                <w:color w:val="000000"/>
                <w:sz w:val="24"/>
              </w:rPr>
            </w:pPr>
            <w:r>
              <w:rPr>
                <w:rFonts w:hint="eastAsia" w:ascii="宋体" w:hAnsi="宋体"/>
                <w:szCs w:val="21"/>
              </w:rPr>
              <w:t>黄彩幸</w:t>
            </w:r>
          </w:p>
        </w:tc>
        <w:tc>
          <w:tcPr>
            <w:tcW w:w="3686" w:type="dxa"/>
            <w:vAlign w:val="center"/>
          </w:tcPr>
          <w:p w14:paraId="67D7A454">
            <w:pPr>
              <w:rPr>
                <w:rFonts w:ascii="仿宋_GB2312" w:hAnsi="宋体" w:eastAsia="仿宋_GB2312"/>
                <w:color w:val="000000"/>
                <w:sz w:val="24"/>
              </w:rPr>
            </w:pPr>
            <w:r>
              <w:rPr>
                <w:rFonts w:hint="eastAsia" w:ascii="宋体" w:hAnsi="宋体"/>
                <w:szCs w:val="21"/>
              </w:rPr>
              <w:t>广西生态工程职业技术学院</w:t>
            </w:r>
          </w:p>
        </w:tc>
        <w:tc>
          <w:tcPr>
            <w:tcW w:w="1919" w:type="dxa"/>
            <w:vAlign w:val="center"/>
          </w:tcPr>
          <w:p w14:paraId="5178EFB4">
            <w:pPr>
              <w:rPr>
                <w:rFonts w:ascii="仿宋_GB2312" w:hAnsi="宋体" w:eastAsia="仿宋_GB2312"/>
                <w:color w:val="000000"/>
                <w:sz w:val="24"/>
              </w:rPr>
            </w:pPr>
            <w:r>
              <w:rPr>
                <w:rFonts w:hint="eastAsia" w:ascii="宋体" w:hAnsi="宋体"/>
                <w:szCs w:val="21"/>
              </w:rPr>
              <w:t>讲师</w:t>
            </w:r>
          </w:p>
        </w:tc>
        <w:tc>
          <w:tcPr>
            <w:tcW w:w="1653" w:type="dxa"/>
            <w:vAlign w:val="center"/>
          </w:tcPr>
          <w:p w14:paraId="07D8CC3F">
            <w:pPr>
              <w:rPr>
                <w:rFonts w:ascii="仿宋_GB2312" w:hAnsi="宋体" w:eastAsia="仿宋_GB2312"/>
                <w:color w:val="000000"/>
                <w:sz w:val="24"/>
              </w:rPr>
            </w:pPr>
            <w:r>
              <w:rPr>
                <w:rFonts w:hint="eastAsia" w:ascii="宋体" w:hAnsi="宋体"/>
                <w:szCs w:val="21"/>
              </w:rPr>
              <w:t>方法开发</w:t>
            </w:r>
          </w:p>
        </w:tc>
      </w:tr>
      <w:tr w14:paraId="693D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1BDDFEAC">
            <w:pPr>
              <w:rPr>
                <w:rFonts w:ascii="仿宋_GB2312" w:hAnsi="宋体" w:eastAsia="仿宋_GB2312"/>
                <w:color w:val="000000"/>
                <w:sz w:val="24"/>
              </w:rPr>
            </w:pPr>
            <w:r>
              <w:rPr>
                <w:rFonts w:hint="eastAsia" w:ascii="宋体" w:hAnsi="宋体" w:cstheme="minorBidi"/>
                <w:szCs w:val="21"/>
              </w:rPr>
              <w:t>昝川南</w:t>
            </w:r>
          </w:p>
        </w:tc>
        <w:tc>
          <w:tcPr>
            <w:tcW w:w="3686" w:type="dxa"/>
            <w:vAlign w:val="center"/>
          </w:tcPr>
          <w:p w14:paraId="31F22D94">
            <w:pPr>
              <w:rPr>
                <w:rFonts w:ascii="仿宋_GB2312" w:hAnsi="宋体" w:eastAsia="仿宋_GB2312"/>
                <w:color w:val="000000"/>
                <w:sz w:val="24"/>
              </w:rPr>
            </w:pPr>
            <w:r>
              <w:rPr>
                <w:rFonts w:hint="eastAsia" w:ascii="宋体" w:hAnsi="宋体" w:eastAsiaTheme="minorEastAsia" w:cstheme="minorBidi"/>
                <w:szCs w:val="21"/>
              </w:rPr>
              <w:t>广西—东盟食品检验检测中心</w:t>
            </w:r>
          </w:p>
        </w:tc>
        <w:tc>
          <w:tcPr>
            <w:tcW w:w="1919" w:type="dxa"/>
            <w:vAlign w:val="center"/>
          </w:tcPr>
          <w:p w14:paraId="73E06863">
            <w:pPr>
              <w:rPr>
                <w:rFonts w:ascii="仿宋_GB2312" w:hAnsi="宋体" w:eastAsia="仿宋_GB2312"/>
                <w:color w:val="000000"/>
                <w:sz w:val="24"/>
              </w:rPr>
            </w:pPr>
            <w:r>
              <w:rPr>
                <w:rFonts w:hint="eastAsia" w:ascii="宋体" w:hAnsi="宋体" w:cstheme="minorBidi"/>
                <w:szCs w:val="21"/>
              </w:rPr>
              <w:t>副主任技师</w:t>
            </w:r>
          </w:p>
        </w:tc>
        <w:tc>
          <w:tcPr>
            <w:tcW w:w="1653" w:type="dxa"/>
            <w:vAlign w:val="center"/>
          </w:tcPr>
          <w:p w14:paraId="749482A3">
            <w:pPr>
              <w:rPr>
                <w:rFonts w:ascii="仿宋_GB2312" w:hAnsi="宋体" w:eastAsia="仿宋_GB2312"/>
                <w:color w:val="000000"/>
                <w:sz w:val="24"/>
              </w:rPr>
            </w:pPr>
            <w:r>
              <w:rPr>
                <w:rFonts w:ascii="宋体" w:hAnsi="宋体"/>
                <w:szCs w:val="21"/>
              </w:rPr>
              <w:t>参与编制</w:t>
            </w:r>
          </w:p>
        </w:tc>
      </w:tr>
      <w:tr w14:paraId="6C67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040BBAA9">
            <w:pPr>
              <w:rPr>
                <w:rFonts w:ascii="仿宋_GB2312" w:hAnsi="宋体" w:eastAsia="仿宋_GB2312"/>
                <w:color w:val="000000"/>
                <w:sz w:val="24"/>
              </w:rPr>
            </w:pPr>
            <w:r>
              <w:rPr>
                <w:rFonts w:hint="eastAsia" w:ascii="宋体" w:hAnsi="宋体" w:cstheme="minorBidi"/>
                <w:szCs w:val="21"/>
              </w:rPr>
              <w:t>范广</w:t>
            </w:r>
          </w:p>
        </w:tc>
        <w:tc>
          <w:tcPr>
            <w:tcW w:w="3686" w:type="dxa"/>
            <w:vAlign w:val="center"/>
          </w:tcPr>
          <w:p w14:paraId="61FB3726">
            <w:pPr>
              <w:rPr>
                <w:rFonts w:ascii="仿宋_GB2312" w:hAnsi="宋体" w:eastAsia="仿宋_GB2312"/>
                <w:color w:val="000000"/>
                <w:sz w:val="24"/>
              </w:rPr>
            </w:pPr>
            <w:r>
              <w:rPr>
                <w:rFonts w:hint="eastAsia" w:ascii="宋体" w:hAnsi="宋体" w:cstheme="minorBidi"/>
                <w:szCs w:val="21"/>
              </w:rPr>
              <w:t>广西云庭汇餐饮管理有限公司</w:t>
            </w:r>
          </w:p>
        </w:tc>
        <w:tc>
          <w:tcPr>
            <w:tcW w:w="1919" w:type="dxa"/>
            <w:vAlign w:val="center"/>
          </w:tcPr>
          <w:p w14:paraId="64DF376D">
            <w:pPr>
              <w:rPr>
                <w:rFonts w:ascii="仿宋_GB2312" w:hAnsi="宋体" w:eastAsia="仿宋_GB2312"/>
                <w:color w:val="000000"/>
                <w:sz w:val="24"/>
              </w:rPr>
            </w:pPr>
            <w:r>
              <w:rPr>
                <w:rFonts w:hint="eastAsia" w:ascii="宋体" w:hAnsi="宋体" w:cstheme="minorBidi"/>
                <w:szCs w:val="21"/>
              </w:rPr>
              <w:t>董事长/高级</w:t>
            </w:r>
          </w:p>
        </w:tc>
        <w:tc>
          <w:tcPr>
            <w:tcW w:w="1653" w:type="dxa"/>
            <w:vAlign w:val="center"/>
          </w:tcPr>
          <w:p w14:paraId="0B0683EF">
            <w:pPr>
              <w:rPr>
                <w:rFonts w:ascii="仿宋_GB2312" w:hAnsi="宋体" w:eastAsia="仿宋_GB2312"/>
                <w:color w:val="000000"/>
                <w:sz w:val="24"/>
              </w:rPr>
            </w:pPr>
            <w:r>
              <w:rPr>
                <w:rFonts w:hint="eastAsia" w:ascii="宋体" w:hAnsi="宋体"/>
                <w:szCs w:val="21"/>
              </w:rPr>
              <w:t>方法开发</w:t>
            </w:r>
          </w:p>
        </w:tc>
      </w:tr>
      <w:tr w14:paraId="781F9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6E48C18D">
            <w:pPr>
              <w:rPr>
                <w:rFonts w:ascii="仿宋_GB2312" w:hAnsi="宋体" w:eastAsia="仿宋_GB2312"/>
                <w:color w:val="000000"/>
                <w:sz w:val="24"/>
              </w:rPr>
            </w:pPr>
            <w:r>
              <w:rPr>
                <w:rFonts w:hint="eastAsia" w:ascii="宋体" w:hAnsi="宋体"/>
                <w:szCs w:val="21"/>
              </w:rPr>
              <w:t>刘常凯</w:t>
            </w:r>
          </w:p>
        </w:tc>
        <w:tc>
          <w:tcPr>
            <w:tcW w:w="3686" w:type="dxa"/>
            <w:vAlign w:val="center"/>
          </w:tcPr>
          <w:p w14:paraId="1EE86186">
            <w:pPr>
              <w:rPr>
                <w:rFonts w:ascii="仿宋_GB2312" w:hAnsi="宋体" w:eastAsia="仿宋_GB2312"/>
                <w:color w:val="000000"/>
                <w:sz w:val="24"/>
              </w:rPr>
            </w:pPr>
            <w:r>
              <w:rPr>
                <w:rFonts w:hint="eastAsia" w:ascii="宋体" w:hAnsi="宋体" w:eastAsiaTheme="minorEastAsia" w:cstheme="minorBidi"/>
                <w:szCs w:val="21"/>
              </w:rPr>
              <w:t>广西—东盟食品检验检测中心</w:t>
            </w:r>
          </w:p>
        </w:tc>
        <w:tc>
          <w:tcPr>
            <w:tcW w:w="1919" w:type="dxa"/>
            <w:vAlign w:val="center"/>
          </w:tcPr>
          <w:p w14:paraId="16DE2C6A">
            <w:pPr>
              <w:rPr>
                <w:rFonts w:ascii="仿宋_GB2312" w:hAnsi="宋体" w:eastAsia="仿宋_GB2312"/>
                <w:color w:val="000000"/>
                <w:sz w:val="24"/>
              </w:rPr>
            </w:pPr>
            <w:r>
              <w:rPr>
                <w:rFonts w:hint="eastAsia" w:ascii="宋体" w:hAnsi="宋体"/>
                <w:szCs w:val="21"/>
              </w:rPr>
              <w:t>高级工程师</w:t>
            </w:r>
          </w:p>
        </w:tc>
        <w:tc>
          <w:tcPr>
            <w:tcW w:w="1653" w:type="dxa"/>
            <w:vAlign w:val="center"/>
          </w:tcPr>
          <w:p w14:paraId="736A9336">
            <w:pPr>
              <w:rPr>
                <w:rFonts w:ascii="仿宋_GB2312" w:hAnsi="宋体" w:eastAsia="仿宋_GB2312"/>
                <w:color w:val="000000"/>
                <w:sz w:val="24"/>
              </w:rPr>
            </w:pPr>
            <w:r>
              <w:rPr>
                <w:rFonts w:hint="eastAsia" w:ascii="宋体" w:hAnsi="宋体"/>
                <w:szCs w:val="21"/>
              </w:rPr>
              <w:t>方法开发</w:t>
            </w:r>
          </w:p>
        </w:tc>
      </w:tr>
      <w:tr w14:paraId="096FF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6F0E7A8A">
            <w:pPr>
              <w:rPr>
                <w:rFonts w:ascii="仿宋_GB2312" w:hAnsi="宋体" w:eastAsia="仿宋_GB2312"/>
                <w:color w:val="000000"/>
                <w:sz w:val="24"/>
              </w:rPr>
            </w:pPr>
            <w:r>
              <w:rPr>
                <w:rFonts w:hint="eastAsia" w:ascii="宋体" w:hAnsi="宋体" w:cstheme="minorBidi"/>
                <w:szCs w:val="21"/>
              </w:rPr>
              <w:t>陆柔</w:t>
            </w:r>
          </w:p>
        </w:tc>
        <w:tc>
          <w:tcPr>
            <w:tcW w:w="3686" w:type="dxa"/>
            <w:vAlign w:val="center"/>
          </w:tcPr>
          <w:p w14:paraId="72BDE984">
            <w:pPr>
              <w:rPr>
                <w:rFonts w:ascii="仿宋_GB2312" w:hAnsi="宋体" w:eastAsia="仿宋_GB2312"/>
                <w:color w:val="000000"/>
                <w:sz w:val="24"/>
              </w:rPr>
            </w:pPr>
            <w:r>
              <w:rPr>
                <w:rFonts w:hint="eastAsia" w:ascii="宋体" w:hAnsi="宋体" w:eastAsiaTheme="minorEastAsia" w:cstheme="minorBidi"/>
                <w:szCs w:val="21"/>
              </w:rPr>
              <w:t>广西—东盟食品检验检测中心</w:t>
            </w:r>
          </w:p>
        </w:tc>
        <w:tc>
          <w:tcPr>
            <w:tcW w:w="1919" w:type="dxa"/>
            <w:vAlign w:val="center"/>
          </w:tcPr>
          <w:p w14:paraId="5A8A4865">
            <w:pPr>
              <w:rPr>
                <w:rFonts w:ascii="仿宋_GB2312" w:hAnsi="宋体" w:eastAsia="仿宋_GB2312"/>
                <w:color w:val="000000"/>
                <w:sz w:val="24"/>
              </w:rPr>
            </w:pPr>
            <w:r>
              <w:rPr>
                <w:rFonts w:hint="eastAsia" w:ascii="宋体" w:hAnsi="宋体"/>
                <w:szCs w:val="21"/>
              </w:rPr>
              <w:t>工程师</w:t>
            </w:r>
          </w:p>
        </w:tc>
        <w:tc>
          <w:tcPr>
            <w:tcW w:w="1653" w:type="dxa"/>
            <w:vAlign w:val="center"/>
          </w:tcPr>
          <w:p w14:paraId="316A61F4">
            <w:pPr>
              <w:rPr>
                <w:rFonts w:ascii="仿宋_GB2312" w:hAnsi="宋体" w:eastAsia="仿宋_GB2312"/>
                <w:color w:val="000000"/>
                <w:sz w:val="24"/>
              </w:rPr>
            </w:pPr>
            <w:r>
              <w:rPr>
                <w:rFonts w:ascii="宋体" w:hAnsi="宋体"/>
                <w:szCs w:val="21"/>
              </w:rPr>
              <w:t>参与编制</w:t>
            </w:r>
          </w:p>
        </w:tc>
      </w:tr>
      <w:tr w14:paraId="2D8B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1D86DBA8">
            <w:pPr>
              <w:rPr>
                <w:rFonts w:ascii="仿宋_GB2312" w:hAnsi="宋体" w:eastAsia="仿宋_GB2312"/>
                <w:color w:val="000000"/>
                <w:sz w:val="24"/>
              </w:rPr>
            </w:pPr>
            <w:r>
              <w:rPr>
                <w:rFonts w:hint="eastAsia" w:ascii="宋体" w:hAnsi="宋体"/>
                <w:szCs w:val="21"/>
              </w:rPr>
              <w:t>韦红言</w:t>
            </w:r>
          </w:p>
        </w:tc>
        <w:tc>
          <w:tcPr>
            <w:tcW w:w="3686" w:type="dxa"/>
            <w:vAlign w:val="center"/>
          </w:tcPr>
          <w:p w14:paraId="00AC17D2">
            <w:pPr>
              <w:rPr>
                <w:rFonts w:ascii="仿宋_GB2312" w:hAnsi="宋体" w:eastAsia="仿宋_GB2312"/>
                <w:color w:val="000000"/>
                <w:sz w:val="24"/>
              </w:rPr>
            </w:pPr>
            <w:r>
              <w:rPr>
                <w:rFonts w:hint="eastAsia" w:ascii="宋体" w:hAnsi="宋体"/>
                <w:szCs w:val="21"/>
              </w:rPr>
              <w:t>培力（南宁）药业有限公司</w:t>
            </w:r>
          </w:p>
        </w:tc>
        <w:tc>
          <w:tcPr>
            <w:tcW w:w="1919" w:type="dxa"/>
            <w:vAlign w:val="center"/>
          </w:tcPr>
          <w:p w14:paraId="162402D0">
            <w:pPr>
              <w:rPr>
                <w:rFonts w:ascii="仿宋_GB2312" w:hAnsi="宋体" w:eastAsia="仿宋_GB2312"/>
                <w:color w:val="000000"/>
                <w:sz w:val="24"/>
              </w:rPr>
            </w:pPr>
            <w:r>
              <w:rPr>
                <w:rFonts w:hint="eastAsia" w:ascii="宋体" w:hAnsi="宋体"/>
                <w:szCs w:val="21"/>
              </w:rPr>
              <w:t>副高级工程师</w:t>
            </w:r>
          </w:p>
        </w:tc>
        <w:tc>
          <w:tcPr>
            <w:tcW w:w="1653" w:type="dxa"/>
            <w:vAlign w:val="center"/>
          </w:tcPr>
          <w:p w14:paraId="3F42574B">
            <w:pPr>
              <w:rPr>
                <w:rFonts w:ascii="仿宋_GB2312" w:hAnsi="宋体" w:eastAsia="仿宋_GB2312"/>
                <w:color w:val="000000"/>
                <w:sz w:val="24"/>
              </w:rPr>
            </w:pPr>
            <w:r>
              <w:rPr>
                <w:rFonts w:hint="eastAsia" w:ascii="宋体" w:hAnsi="宋体"/>
                <w:szCs w:val="21"/>
              </w:rPr>
              <w:t>参与编制</w:t>
            </w:r>
          </w:p>
        </w:tc>
      </w:tr>
      <w:tr w14:paraId="6433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558FA909">
            <w:pPr>
              <w:rPr>
                <w:rFonts w:ascii="仿宋_GB2312" w:hAnsi="宋体" w:eastAsia="仿宋_GB2312"/>
                <w:color w:val="000000"/>
                <w:sz w:val="24"/>
              </w:rPr>
            </w:pPr>
            <w:r>
              <w:rPr>
                <w:rFonts w:hint="eastAsia" w:ascii="宋体" w:hAnsi="宋体"/>
                <w:szCs w:val="21"/>
              </w:rPr>
              <w:t>杨方方</w:t>
            </w:r>
          </w:p>
        </w:tc>
        <w:tc>
          <w:tcPr>
            <w:tcW w:w="3686" w:type="dxa"/>
            <w:vAlign w:val="center"/>
          </w:tcPr>
          <w:p w14:paraId="099983B4">
            <w:pPr>
              <w:rPr>
                <w:rFonts w:ascii="仿宋_GB2312" w:hAnsi="宋体" w:eastAsia="仿宋_GB2312"/>
                <w:color w:val="000000"/>
                <w:sz w:val="24"/>
              </w:rPr>
            </w:pPr>
            <w:r>
              <w:rPr>
                <w:rFonts w:hint="eastAsia" w:ascii="宋体" w:hAnsi="宋体" w:eastAsiaTheme="minorEastAsia" w:cstheme="minorBidi"/>
                <w:szCs w:val="21"/>
              </w:rPr>
              <w:t>广西—东盟食品检验检测中心</w:t>
            </w:r>
          </w:p>
        </w:tc>
        <w:tc>
          <w:tcPr>
            <w:tcW w:w="1919" w:type="dxa"/>
            <w:vAlign w:val="center"/>
          </w:tcPr>
          <w:p w14:paraId="28DF7568">
            <w:pPr>
              <w:rPr>
                <w:rFonts w:ascii="仿宋_GB2312" w:hAnsi="宋体" w:eastAsia="仿宋_GB2312"/>
                <w:color w:val="000000"/>
                <w:sz w:val="24"/>
              </w:rPr>
            </w:pPr>
            <w:r>
              <w:rPr>
                <w:rFonts w:hint="eastAsia" w:ascii="宋体" w:hAnsi="宋体"/>
                <w:szCs w:val="21"/>
              </w:rPr>
              <w:t>高级工程师</w:t>
            </w:r>
          </w:p>
        </w:tc>
        <w:tc>
          <w:tcPr>
            <w:tcW w:w="1653" w:type="dxa"/>
            <w:vAlign w:val="center"/>
          </w:tcPr>
          <w:p w14:paraId="5AEDDC80">
            <w:pPr>
              <w:rPr>
                <w:rFonts w:ascii="仿宋_GB2312" w:hAnsi="宋体" w:eastAsia="仿宋_GB2312"/>
                <w:color w:val="000000"/>
                <w:sz w:val="24"/>
              </w:rPr>
            </w:pPr>
            <w:r>
              <w:rPr>
                <w:rFonts w:ascii="宋体" w:hAnsi="宋体"/>
                <w:szCs w:val="21"/>
              </w:rPr>
              <w:t>参与编制</w:t>
            </w:r>
          </w:p>
        </w:tc>
      </w:tr>
      <w:tr w14:paraId="4C42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2520802F">
            <w:pPr>
              <w:rPr>
                <w:rFonts w:ascii="仿宋_GB2312" w:hAnsi="宋体" w:eastAsia="仿宋_GB2312"/>
                <w:color w:val="000000"/>
                <w:sz w:val="24"/>
              </w:rPr>
            </w:pPr>
            <w:r>
              <w:rPr>
                <w:rFonts w:hint="eastAsia" w:ascii="宋体" w:hAnsi="宋体"/>
                <w:szCs w:val="21"/>
              </w:rPr>
              <w:t>韦宇杰</w:t>
            </w:r>
          </w:p>
        </w:tc>
        <w:tc>
          <w:tcPr>
            <w:tcW w:w="3686" w:type="dxa"/>
            <w:vAlign w:val="center"/>
          </w:tcPr>
          <w:p w14:paraId="568C8EF8">
            <w:pPr>
              <w:rPr>
                <w:rFonts w:ascii="仿宋_GB2312" w:hAnsi="宋体" w:eastAsia="仿宋_GB2312"/>
                <w:color w:val="000000"/>
                <w:sz w:val="24"/>
              </w:rPr>
            </w:pPr>
            <w:r>
              <w:rPr>
                <w:rFonts w:hint="eastAsia" w:ascii="宋体" w:hAnsi="宋体"/>
                <w:szCs w:val="21"/>
              </w:rPr>
              <w:t>广西壮族自治区产品质量检验研究院</w:t>
            </w:r>
          </w:p>
        </w:tc>
        <w:tc>
          <w:tcPr>
            <w:tcW w:w="1919" w:type="dxa"/>
            <w:vAlign w:val="center"/>
          </w:tcPr>
          <w:p w14:paraId="3A1307BD">
            <w:pPr>
              <w:rPr>
                <w:rFonts w:ascii="仿宋_GB2312" w:hAnsi="宋体" w:eastAsia="仿宋_GB2312"/>
                <w:color w:val="000000"/>
                <w:sz w:val="24"/>
              </w:rPr>
            </w:pPr>
            <w:r>
              <w:rPr>
                <w:rFonts w:hint="eastAsia" w:ascii="宋体" w:hAnsi="宋体"/>
                <w:szCs w:val="21"/>
              </w:rPr>
              <w:t>工程师</w:t>
            </w:r>
          </w:p>
        </w:tc>
        <w:tc>
          <w:tcPr>
            <w:tcW w:w="1653" w:type="dxa"/>
            <w:vAlign w:val="center"/>
          </w:tcPr>
          <w:p w14:paraId="20BC5F74">
            <w:pPr>
              <w:rPr>
                <w:rFonts w:ascii="仿宋_GB2312" w:hAnsi="宋体" w:eastAsia="仿宋_GB2312"/>
                <w:color w:val="000000"/>
                <w:sz w:val="24"/>
              </w:rPr>
            </w:pPr>
            <w:r>
              <w:rPr>
                <w:rFonts w:ascii="宋体" w:hAnsi="宋体"/>
                <w:szCs w:val="21"/>
              </w:rPr>
              <w:t>参与编制</w:t>
            </w:r>
          </w:p>
        </w:tc>
      </w:tr>
      <w:tr w14:paraId="59CA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5F550FC7">
            <w:pPr>
              <w:rPr>
                <w:rFonts w:ascii="仿宋_GB2312" w:hAnsi="宋体" w:eastAsia="仿宋_GB2312"/>
                <w:color w:val="000000"/>
                <w:sz w:val="24"/>
              </w:rPr>
            </w:pPr>
            <w:r>
              <w:rPr>
                <w:rFonts w:hint="eastAsia" w:ascii="宋体" w:hAnsi="宋体"/>
                <w:szCs w:val="21"/>
              </w:rPr>
              <w:t>李星亚</w:t>
            </w:r>
          </w:p>
        </w:tc>
        <w:tc>
          <w:tcPr>
            <w:tcW w:w="3686" w:type="dxa"/>
            <w:vAlign w:val="center"/>
          </w:tcPr>
          <w:p w14:paraId="5386005C">
            <w:pPr>
              <w:rPr>
                <w:rFonts w:ascii="仿宋_GB2312" w:hAnsi="宋体" w:eastAsia="仿宋_GB2312"/>
                <w:color w:val="000000"/>
                <w:sz w:val="24"/>
              </w:rPr>
            </w:pPr>
            <w:r>
              <w:rPr>
                <w:rFonts w:hint="eastAsia" w:ascii="宋体" w:hAnsi="宋体" w:eastAsiaTheme="minorEastAsia" w:cstheme="minorBidi"/>
                <w:szCs w:val="21"/>
              </w:rPr>
              <w:t>南宁职业技术大学</w:t>
            </w:r>
          </w:p>
        </w:tc>
        <w:tc>
          <w:tcPr>
            <w:tcW w:w="1919" w:type="dxa"/>
            <w:vAlign w:val="center"/>
          </w:tcPr>
          <w:p w14:paraId="0D5BAEBC">
            <w:pPr>
              <w:rPr>
                <w:rFonts w:ascii="仿宋_GB2312" w:hAnsi="宋体" w:eastAsia="仿宋_GB2312"/>
                <w:color w:val="000000"/>
                <w:sz w:val="24"/>
              </w:rPr>
            </w:pPr>
            <w:r>
              <w:rPr>
                <w:rFonts w:hint="eastAsia"/>
              </w:rPr>
              <w:t>讲师</w:t>
            </w:r>
          </w:p>
        </w:tc>
        <w:tc>
          <w:tcPr>
            <w:tcW w:w="1653" w:type="dxa"/>
            <w:vAlign w:val="center"/>
          </w:tcPr>
          <w:p w14:paraId="53AFB8E7">
            <w:pPr>
              <w:rPr>
                <w:rFonts w:ascii="仿宋_GB2312" w:hAnsi="宋体" w:eastAsia="仿宋_GB2312"/>
                <w:color w:val="000000"/>
                <w:sz w:val="24"/>
              </w:rPr>
            </w:pPr>
            <w:r>
              <w:rPr>
                <w:rFonts w:ascii="宋体" w:hAnsi="宋体"/>
                <w:szCs w:val="21"/>
              </w:rPr>
              <w:t>参与编制</w:t>
            </w:r>
          </w:p>
        </w:tc>
      </w:tr>
      <w:tr w14:paraId="7EDE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00FA6905">
            <w:pPr>
              <w:rPr>
                <w:rFonts w:ascii="仿宋_GB2312" w:hAnsi="宋体" w:eastAsia="仿宋_GB2312"/>
                <w:color w:val="000000"/>
                <w:sz w:val="24"/>
              </w:rPr>
            </w:pPr>
            <w:r>
              <w:rPr>
                <w:rFonts w:hint="eastAsia" w:ascii="宋体" w:hAnsi="宋体"/>
                <w:szCs w:val="21"/>
              </w:rPr>
              <w:t>石敏</w:t>
            </w:r>
          </w:p>
        </w:tc>
        <w:tc>
          <w:tcPr>
            <w:tcW w:w="3686" w:type="dxa"/>
            <w:vAlign w:val="center"/>
          </w:tcPr>
          <w:p w14:paraId="4DDE488A">
            <w:pPr>
              <w:rPr>
                <w:rFonts w:ascii="仿宋_GB2312" w:hAnsi="宋体" w:eastAsia="仿宋_GB2312"/>
                <w:color w:val="000000"/>
                <w:sz w:val="24"/>
              </w:rPr>
            </w:pPr>
            <w:r>
              <w:rPr>
                <w:rFonts w:hint="eastAsia" w:ascii="宋体" w:hAnsi="宋体"/>
                <w:szCs w:val="21"/>
              </w:rPr>
              <w:t>广西农业职业技术大学</w:t>
            </w:r>
          </w:p>
        </w:tc>
        <w:tc>
          <w:tcPr>
            <w:tcW w:w="1919" w:type="dxa"/>
            <w:vAlign w:val="center"/>
          </w:tcPr>
          <w:p w14:paraId="0AFB68B1">
            <w:pPr>
              <w:rPr>
                <w:rFonts w:ascii="仿宋_GB2312" w:hAnsi="宋体" w:eastAsia="仿宋_GB2312"/>
                <w:color w:val="000000"/>
                <w:sz w:val="24"/>
              </w:rPr>
            </w:pPr>
            <w:r>
              <w:rPr>
                <w:rFonts w:hint="eastAsia" w:ascii="宋体" w:hAnsi="宋体"/>
                <w:szCs w:val="21"/>
              </w:rPr>
              <w:t>副教授</w:t>
            </w:r>
          </w:p>
        </w:tc>
        <w:tc>
          <w:tcPr>
            <w:tcW w:w="1653" w:type="dxa"/>
            <w:vAlign w:val="center"/>
          </w:tcPr>
          <w:p w14:paraId="43534BFA">
            <w:pPr>
              <w:rPr>
                <w:rFonts w:ascii="仿宋_GB2312" w:hAnsi="宋体" w:eastAsia="仿宋_GB2312"/>
                <w:color w:val="000000"/>
                <w:sz w:val="24"/>
              </w:rPr>
            </w:pPr>
            <w:r>
              <w:rPr>
                <w:rFonts w:ascii="宋体" w:hAnsi="宋体"/>
                <w:szCs w:val="21"/>
              </w:rPr>
              <w:t>参与编制</w:t>
            </w:r>
          </w:p>
        </w:tc>
      </w:tr>
      <w:tr w14:paraId="1520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6B011B68">
            <w:pPr>
              <w:rPr>
                <w:rFonts w:ascii="仿宋_GB2312" w:hAnsi="宋体" w:eastAsia="仿宋_GB2312"/>
                <w:color w:val="000000"/>
                <w:sz w:val="24"/>
              </w:rPr>
            </w:pPr>
            <w:r>
              <w:rPr>
                <w:rFonts w:hint="eastAsia" w:ascii="宋体" w:hAnsi="宋体"/>
                <w:szCs w:val="21"/>
              </w:rPr>
              <w:t>李河</w:t>
            </w:r>
          </w:p>
        </w:tc>
        <w:tc>
          <w:tcPr>
            <w:tcW w:w="3686" w:type="dxa"/>
            <w:vAlign w:val="center"/>
          </w:tcPr>
          <w:p w14:paraId="743FE0DD">
            <w:pPr>
              <w:rPr>
                <w:rFonts w:ascii="仿宋_GB2312" w:hAnsi="宋体" w:eastAsia="仿宋_GB2312"/>
                <w:color w:val="000000"/>
                <w:sz w:val="24"/>
              </w:rPr>
            </w:pPr>
            <w:r>
              <w:rPr>
                <w:rFonts w:hint="eastAsia" w:ascii="宋体" w:hAnsi="宋体"/>
                <w:szCs w:val="21"/>
              </w:rPr>
              <w:t>南宁职业技术大学</w:t>
            </w:r>
          </w:p>
        </w:tc>
        <w:tc>
          <w:tcPr>
            <w:tcW w:w="1919" w:type="dxa"/>
            <w:vAlign w:val="center"/>
          </w:tcPr>
          <w:p w14:paraId="72C8A86E">
            <w:pPr>
              <w:rPr>
                <w:rFonts w:ascii="仿宋_GB2312" w:hAnsi="宋体" w:eastAsia="仿宋_GB2312"/>
                <w:color w:val="000000"/>
                <w:sz w:val="24"/>
              </w:rPr>
            </w:pPr>
            <w:r>
              <w:rPr>
                <w:rFonts w:hint="eastAsia"/>
              </w:rPr>
              <w:t>讲师</w:t>
            </w:r>
          </w:p>
        </w:tc>
        <w:tc>
          <w:tcPr>
            <w:tcW w:w="1653" w:type="dxa"/>
            <w:vAlign w:val="center"/>
          </w:tcPr>
          <w:p w14:paraId="0985413E">
            <w:pPr>
              <w:rPr>
                <w:rFonts w:ascii="仿宋_GB2312" w:hAnsi="宋体" w:eastAsia="仿宋_GB2312"/>
                <w:color w:val="000000"/>
                <w:sz w:val="24"/>
              </w:rPr>
            </w:pPr>
            <w:r>
              <w:rPr>
                <w:rFonts w:ascii="宋体" w:hAnsi="宋体"/>
                <w:szCs w:val="21"/>
              </w:rPr>
              <w:t>参与编制</w:t>
            </w:r>
          </w:p>
        </w:tc>
      </w:tr>
      <w:tr w14:paraId="3D69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53CF8487">
            <w:pPr>
              <w:rPr>
                <w:rFonts w:ascii="仿宋_GB2312" w:hAnsi="宋体" w:eastAsia="仿宋_GB2312"/>
                <w:color w:val="000000"/>
                <w:sz w:val="24"/>
              </w:rPr>
            </w:pPr>
            <w:r>
              <w:rPr>
                <w:rFonts w:hint="eastAsia" w:ascii="宋体" w:hAnsi="宋体" w:cstheme="minorBidi"/>
                <w:szCs w:val="21"/>
              </w:rPr>
              <w:t>陈文媛</w:t>
            </w:r>
          </w:p>
        </w:tc>
        <w:tc>
          <w:tcPr>
            <w:tcW w:w="3686" w:type="dxa"/>
            <w:vAlign w:val="center"/>
          </w:tcPr>
          <w:p w14:paraId="157BE94F">
            <w:pPr>
              <w:rPr>
                <w:rFonts w:ascii="仿宋_GB2312" w:hAnsi="宋体" w:eastAsia="仿宋_GB2312"/>
                <w:color w:val="000000"/>
                <w:sz w:val="24"/>
              </w:rPr>
            </w:pPr>
            <w:r>
              <w:rPr>
                <w:rFonts w:hint="eastAsia" w:ascii="宋体" w:hAnsi="宋体" w:cstheme="minorBidi"/>
                <w:szCs w:val="21"/>
              </w:rPr>
              <w:t>广西生态工程职业技术学院</w:t>
            </w:r>
          </w:p>
        </w:tc>
        <w:tc>
          <w:tcPr>
            <w:tcW w:w="1919" w:type="dxa"/>
            <w:vAlign w:val="center"/>
          </w:tcPr>
          <w:p w14:paraId="053BDE18">
            <w:pPr>
              <w:rPr>
                <w:rFonts w:ascii="仿宋_GB2312" w:hAnsi="宋体" w:eastAsia="仿宋_GB2312"/>
                <w:color w:val="000000"/>
                <w:sz w:val="24"/>
              </w:rPr>
            </w:pPr>
            <w:r>
              <w:rPr>
                <w:rFonts w:hint="eastAsia" w:ascii="宋体" w:hAnsi="宋体" w:cstheme="minorBidi"/>
                <w:szCs w:val="21"/>
              </w:rPr>
              <w:t>高校讲师</w:t>
            </w:r>
          </w:p>
        </w:tc>
        <w:tc>
          <w:tcPr>
            <w:tcW w:w="1653" w:type="dxa"/>
            <w:vAlign w:val="center"/>
          </w:tcPr>
          <w:p w14:paraId="5AFDDCE4">
            <w:pPr>
              <w:rPr>
                <w:rFonts w:ascii="仿宋_GB2312" w:hAnsi="宋体" w:eastAsia="仿宋_GB2312"/>
                <w:color w:val="000000"/>
                <w:sz w:val="24"/>
              </w:rPr>
            </w:pPr>
            <w:r>
              <w:rPr>
                <w:rFonts w:hint="eastAsia" w:ascii="宋体" w:hAnsi="宋体"/>
                <w:szCs w:val="21"/>
              </w:rPr>
              <w:t>参与编制</w:t>
            </w:r>
          </w:p>
        </w:tc>
      </w:tr>
      <w:tr w14:paraId="566D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28D20A8E">
            <w:pPr>
              <w:rPr>
                <w:rFonts w:ascii="仿宋_GB2312" w:hAnsi="宋体" w:eastAsia="仿宋_GB2312"/>
                <w:color w:val="000000"/>
                <w:sz w:val="24"/>
              </w:rPr>
            </w:pPr>
            <w:r>
              <w:rPr>
                <w:rFonts w:hint="eastAsia" w:ascii="宋体" w:hAnsi="宋体"/>
                <w:szCs w:val="21"/>
              </w:rPr>
              <w:t>郑博强</w:t>
            </w:r>
          </w:p>
        </w:tc>
        <w:tc>
          <w:tcPr>
            <w:tcW w:w="3686" w:type="dxa"/>
            <w:vAlign w:val="center"/>
          </w:tcPr>
          <w:p w14:paraId="1B85025C">
            <w:pPr>
              <w:rPr>
                <w:rFonts w:ascii="仿宋_GB2312" w:hAnsi="宋体" w:eastAsia="仿宋_GB2312"/>
                <w:color w:val="000000"/>
                <w:sz w:val="24"/>
              </w:rPr>
            </w:pPr>
            <w:r>
              <w:rPr>
                <w:rFonts w:hint="eastAsia" w:ascii="宋体" w:hAnsi="宋体"/>
                <w:szCs w:val="21"/>
              </w:rPr>
              <w:t>广西农业职业技术大学</w:t>
            </w:r>
          </w:p>
        </w:tc>
        <w:tc>
          <w:tcPr>
            <w:tcW w:w="1919" w:type="dxa"/>
            <w:vAlign w:val="center"/>
          </w:tcPr>
          <w:p w14:paraId="7189A16B">
            <w:pPr>
              <w:rPr>
                <w:rFonts w:ascii="仿宋_GB2312" w:hAnsi="宋体" w:eastAsia="仿宋_GB2312"/>
                <w:color w:val="000000"/>
                <w:sz w:val="24"/>
              </w:rPr>
            </w:pPr>
            <w:r>
              <w:rPr>
                <w:rFonts w:hint="eastAsia" w:ascii="宋体" w:hAnsi="宋体"/>
                <w:szCs w:val="21"/>
              </w:rPr>
              <w:t>教授级高级工程师</w:t>
            </w:r>
          </w:p>
        </w:tc>
        <w:tc>
          <w:tcPr>
            <w:tcW w:w="1653" w:type="dxa"/>
            <w:vAlign w:val="center"/>
          </w:tcPr>
          <w:p w14:paraId="67BFEAD7">
            <w:pPr>
              <w:rPr>
                <w:rFonts w:ascii="仿宋_GB2312" w:hAnsi="宋体" w:eastAsia="仿宋_GB2312"/>
                <w:color w:val="000000"/>
                <w:sz w:val="24"/>
              </w:rPr>
            </w:pPr>
            <w:r>
              <w:rPr>
                <w:rFonts w:hint="eastAsia" w:ascii="宋体" w:hAnsi="宋体"/>
                <w:szCs w:val="21"/>
              </w:rPr>
              <w:t>方法开发</w:t>
            </w:r>
          </w:p>
        </w:tc>
      </w:tr>
      <w:tr w14:paraId="09F4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5D12B452">
            <w:pPr>
              <w:rPr>
                <w:rFonts w:ascii="仿宋_GB2312" w:hAnsi="宋体" w:eastAsia="仿宋_GB2312"/>
                <w:color w:val="000000"/>
                <w:sz w:val="24"/>
              </w:rPr>
            </w:pPr>
            <w:r>
              <w:rPr>
                <w:rFonts w:hint="eastAsia" w:ascii="宋体" w:hAnsi="宋体" w:cstheme="minorBidi"/>
                <w:szCs w:val="21"/>
              </w:rPr>
              <w:t>莫万佳</w:t>
            </w:r>
          </w:p>
        </w:tc>
        <w:tc>
          <w:tcPr>
            <w:tcW w:w="3686" w:type="dxa"/>
            <w:vAlign w:val="center"/>
          </w:tcPr>
          <w:p w14:paraId="1929BC7C">
            <w:pPr>
              <w:rPr>
                <w:rFonts w:ascii="仿宋_GB2312" w:hAnsi="宋体" w:eastAsia="仿宋_GB2312"/>
                <w:color w:val="000000"/>
                <w:sz w:val="24"/>
              </w:rPr>
            </w:pPr>
            <w:r>
              <w:rPr>
                <w:rFonts w:hint="eastAsia" w:ascii="宋体" w:hAnsi="宋体" w:cstheme="minorBidi"/>
                <w:szCs w:val="21"/>
              </w:rPr>
              <w:t>广西云庭汇餐饮管理有限公司</w:t>
            </w:r>
          </w:p>
        </w:tc>
        <w:tc>
          <w:tcPr>
            <w:tcW w:w="1919" w:type="dxa"/>
            <w:vAlign w:val="center"/>
          </w:tcPr>
          <w:p w14:paraId="5B7411E1">
            <w:pPr>
              <w:rPr>
                <w:rFonts w:ascii="仿宋_GB2312" w:hAnsi="宋体" w:eastAsia="仿宋_GB2312"/>
                <w:color w:val="000000"/>
                <w:sz w:val="24"/>
              </w:rPr>
            </w:pPr>
            <w:r>
              <w:rPr>
                <w:rFonts w:hint="eastAsia" w:ascii="宋体" w:hAnsi="宋体" w:cstheme="minorBidi"/>
                <w:szCs w:val="21"/>
              </w:rPr>
              <w:t>总经理</w:t>
            </w:r>
          </w:p>
        </w:tc>
        <w:tc>
          <w:tcPr>
            <w:tcW w:w="1653" w:type="dxa"/>
            <w:vAlign w:val="center"/>
          </w:tcPr>
          <w:p w14:paraId="35CEE8CA">
            <w:pPr>
              <w:rPr>
                <w:rFonts w:ascii="仿宋_GB2312" w:hAnsi="宋体" w:eastAsia="仿宋_GB2312"/>
                <w:color w:val="000000"/>
                <w:sz w:val="24"/>
              </w:rPr>
            </w:pPr>
            <w:r>
              <w:rPr>
                <w:rFonts w:hint="eastAsia" w:ascii="宋体" w:hAnsi="宋体"/>
                <w:szCs w:val="21"/>
              </w:rPr>
              <w:t>参与编制</w:t>
            </w:r>
          </w:p>
        </w:tc>
      </w:tr>
      <w:tr w14:paraId="7EFA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1CC70FA0">
            <w:pPr>
              <w:rPr>
                <w:rFonts w:ascii="仿宋_GB2312" w:hAnsi="宋体" w:eastAsia="仿宋_GB2312"/>
                <w:color w:val="000000"/>
                <w:sz w:val="24"/>
              </w:rPr>
            </w:pPr>
            <w:r>
              <w:rPr>
                <w:rFonts w:hint="eastAsia" w:ascii="宋体" w:hAnsi="宋体" w:cstheme="minorBidi"/>
                <w:szCs w:val="21"/>
              </w:rPr>
              <w:t>林锦芳</w:t>
            </w:r>
          </w:p>
        </w:tc>
        <w:tc>
          <w:tcPr>
            <w:tcW w:w="3686" w:type="dxa"/>
            <w:vAlign w:val="center"/>
          </w:tcPr>
          <w:p w14:paraId="12E91961">
            <w:pPr>
              <w:rPr>
                <w:rFonts w:ascii="仿宋_GB2312" w:hAnsi="宋体" w:eastAsia="仿宋_GB2312"/>
                <w:color w:val="000000"/>
                <w:sz w:val="24"/>
              </w:rPr>
            </w:pPr>
            <w:r>
              <w:rPr>
                <w:rFonts w:hint="eastAsia" w:ascii="宋体" w:hAnsi="宋体" w:cstheme="minorBidi"/>
                <w:szCs w:val="21"/>
              </w:rPr>
              <w:t>广西云庭汇餐饮管理有限公司</w:t>
            </w:r>
          </w:p>
        </w:tc>
        <w:tc>
          <w:tcPr>
            <w:tcW w:w="1919" w:type="dxa"/>
            <w:vAlign w:val="center"/>
          </w:tcPr>
          <w:p w14:paraId="0333DB92">
            <w:pPr>
              <w:rPr>
                <w:rFonts w:ascii="仿宋_GB2312" w:hAnsi="宋体" w:eastAsia="仿宋_GB2312"/>
                <w:color w:val="000000"/>
                <w:sz w:val="24"/>
              </w:rPr>
            </w:pPr>
            <w:r>
              <w:rPr>
                <w:rFonts w:hint="eastAsia" w:ascii="宋体" w:hAnsi="宋体" w:cstheme="minorBidi"/>
                <w:szCs w:val="21"/>
              </w:rPr>
              <w:t>厨师长</w:t>
            </w:r>
          </w:p>
        </w:tc>
        <w:tc>
          <w:tcPr>
            <w:tcW w:w="1653" w:type="dxa"/>
            <w:vAlign w:val="center"/>
          </w:tcPr>
          <w:p w14:paraId="4076AF82">
            <w:pPr>
              <w:rPr>
                <w:rFonts w:ascii="仿宋_GB2312" w:hAnsi="宋体" w:eastAsia="仿宋_GB2312"/>
                <w:color w:val="000000"/>
                <w:sz w:val="24"/>
              </w:rPr>
            </w:pPr>
            <w:r>
              <w:rPr>
                <w:rFonts w:hint="eastAsia" w:ascii="宋体" w:hAnsi="宋体"/>
                <w:szCs w:val="21"/>
              </w:rPr>
              <w:t>参与编制</w:t>
            </w:r>
          </w:p>
        </w:tc>
      </w:tr>
      <w:tr w14:paraId="2E82C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5E78F929">
            <w:pPr>
              <w:rPr>
                <w:rFonts w:ascii="仿宋_GB2312" w:hAnsi="宋体" w:eastAsia="仿宋_GB2312"/>
                <w:color w:val="000000"/>
                <w:sz w:val="24"/>
              </w:rPr>
            </w:pPr>
            <w:r>
              <w:rPr>
                <w:rFonts w:hint="eastAsia" w:ascii="宋体" w:hAnsi="宋体"/>
                <w:szCs w:val="21"/>
              </w:rPr>
              <w:t>黄雄梅</w:t>
            </w:r>
          </w:p>
        </w:tc>
        <w:tc>
          <w:tcPr>
            <w:tcW w:w="3686" w:type="dxa"/>
            <w:vAlign w:val="center"/>
          </w:tcPr>
          <w:p w14:paraId="536E46B8">
            <w:pPr>
              <w:rPr>
                <w:rFonts w:ascii="仿宋_GB2312" w:hAnsi="宋体" w:eastAsia="仿宋_GB2312"/>
                <w:color w:val="000000"/>
                <w:sz w:val="24"/>
              </w:rPr>
            </w:pPr>
            <w:r>
              <w:rPr>
                <w:rFonts w:hint="eastAsia" w:ascii="宋体" w:hAnsi="宋体"/>
                <w:szCs w:val="21"/>
              </w:rPr>
              <w:t>培力（南宁）药业有限公司</w:t>
            </w:r>
          </w:p>
        </w:tc>
        <w:tc>
          <w:tcPr>
            <w:tcW w:w="1919" w:type="dxa"/>
            <w:vAlign w:val="center"/>
          </w:tcPr>
          <w:p w14:paraId="2B77B204">
            <w:pPr>
              <w:rPr>
                <w:rFonts w:ascii="仿宋_GB2312" w:hAnsi="宋体" w:eastAsia="仿宋_GB2312"/>
                <w:color w:val="000000"/>
                <w:sz w:val="24"/>
              </w:rPr>
            </w:pPr>
            <w:r>
              <w:rPr>
                <w:rFonts w:hint="eastAsia" w:ascii="宋体" w:hAnsi="宋体"/>
                <w:szCs w:val="21"/>
              </w:rPr>
              <w:t>工程师</w:t>
            </w:r>
          </w:p>
        </w:tc>
        <w:tc>
          <w:tcPr>
            <w:tcW w:w="1653" w:type="dxa"/>
            <w:vAlign w:val="center"/>
          </w:tcPr>
          <w:p w14:paraId="4F9F9D91">
            <w:pPr>
              <w:rPr>
                <w:rFonts w:ascii="仿宋_GB2312" w:hAnsi="宋体" w:eastAsia="仿宋_GB2312"/>
                <w:color w:val="000000"/>
                <w:sz w:val="24"/>
              </w:rPr>
            </w:pPr>
            <w:r>
              <w:rPr>
                <w:rFonts w:hint="eastAsia" w:ascii="宋体" w:hAnsi="宋体"/>
                <w:szCs w:val="21"/>
              </w:rPr>
              <w:t>参与编制</w:t>
            </w:r>
          </w:p>
        </w:tc>
      </w:tr>
      <w:tr w14:paraId="4FABF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78020EE3">
            <w:pPr>
              <w:rPr>
                <w:rFonts w:ascii="仿宋_GB2312" w:hAnsi="宋体" w:eastAsia="仿宋_GB2312"/>
                <w:color w:val="000000"/>
                <w:sz w:val="24"/>
              </w:rPr>
            </w:pPr>
            <w:r>
              <w:rPr>
                <w:rFonts w:hint="eastAsia" w:ascii="宋体" w:hAnsi="宋体"/>
                <w:szCs w:val="21"/>
              </w:rPr>
              <w:t>覃姚红</w:t>
            </w:r>
          </w:p>
        </w:tc>
        <w:tc>
          <w:tcPr>
            <w:tcW w:w="3686" w:type="dxa"/>
            <w:vAlign w:val="center"/>
          </w:tcPr>
          <w:p w14:paraId="23B7B76E">
            <w:pPr>
              <w:rPr>
                <w:rFonts w:ascii="仿宋_GB2312" w:hAnsi="宋体" w:eastAsia="仿宋_GB2312"/>
                <w:color w:val="000000"/>
                <w:sz w:val="24"/>
              </w:rPr>
            </w:pPr>
            <w:r>
              <w:rPr>
                <w:rFonts w:hint="eastAsia" w:ascii="宋体" w:hAnsi="宋体"/>
                <w:szCs w:val="21"/>
              </w:rPr>
              <w:t>广西生态工程职业技术学院</w:t>
            </w:r>
          </w:p>
        </w:tc>
        <w:tc>
          <w:tcPr>
            <w:tcW w:w="1919" w:type="dxa"/>
            <w:vAlign w:val="center"/>
          </w:tcPr>
          <w:p w14:paraId="0168B918">
            <w:pPr>
              <w:rPr>
                <w:rFonts w:ascii="仿宋_GB2312" w:hAnsi="宋体" w:eastAsia="仿宋_GB2312"/>
                <w:color w:val="000000"/>
                <w:sz w:val="24"/>
              </w:rPr>
            </w:pPr>
            <w:r>
              <w:rPr>
                <w:rFonts w:hint="eastAsia" w:ascii="宋体" w:hAnsi="宋体"/>
                <w:szCs w:val="21"/>
              </w:rPr>
              <w:t>实验师</w:t>
            </w:r>
          </w:p>
        </w:tc>
        <w:tc>
          <w:tcPr>
            <w:tcW w:w="1653" w:type="dxa"/>
            <w:vAlign w:val="center"/>
          </w:tcPr>
          <w:p w14:paraId="66F498A5">
            <w:pPr>
              <w:rPr>
                <w:rFonts w:ascii="仿宋_GB2312" w:hAnsi="宋体" w:eastAsia="仿宋_GB2312"/>
                <w:color w:val="000000"/>
                <w:sz w:val="24"/>
              </w:rPr>
            </w:pPr>
            <w:r>
              <w:rPr>
                <w:rFonts w:ascii="宋体" w:hAnsi="宋体"/>
                <w:szCs w:val="21"/>
              </w:rPr>
              <w:t>参与编制</w:t>
            </w:r>
          </w:p>
        </w:tc>
      </w:tr>
      <w:tr w14:paraId="6A2F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40C0CDAF">
            <w:pPr>
              <w:rPr>
                <w:rFonts w:ascii="仿宋_GB2312" w:hAnsi="宋体" w:eastAsia="仿宋_GB2312"/>
                <w:color w:val="000000"/>
                <w:sz w:val="24"/>
              </w:rPr>
            </w:pPr>
            <w:r>
              <w:rPr>
                <w:rFonts w:hint="eastAsia" w:ascii="宋体" w:hAnsi="宋体"/>
                <w:szCs w:val="21"/>
              </w:rPr>
              <w:t>黄晨</w:t>
            </w:r>
          </w:p>
        </w:tc>
        <w:tc>
          <w:tcPr>
            <w:tcW w:w="3686" w:type="dxa"/>
            <w:vAlign w:val="center"/>
          </w:tcPr>
          <w:p w14:paraId="03C4B551">
            <w:pPr>
              <w:rPr>
                <w:rFonts w:ascii="仿宋_GB2312" w:hAnsi="宋体" w:eastAsia="仿宋_GB2312"/>
                <w:color w:val="000000"/>
                <w:sz w:val="24"/>
              </w:rPr>
            </w:pPr>
            <w:r>
              <w:rPr>
                <w:rFonts w:hint="eastAsia" w:ascii="宋体" w:hAnsi="宋体"/>
                <w:szCs w:val="21"/>
              </w:rPr>
              <w:t>广西生态工程职业技术学院</w:t>
            </w:r>
          </w:p>
        </w:tc>
        <w:tc>
          <w:tcPr>
            <w:tcW w:w="1919" w:type="dxa"/>
            <w:vAlign w:val="center"/>
          </w:tcPr>
          <w:p w14:paraId="7E1FEF6D">
            <w:pPr>
              <w:rPr>
                <w:rFonts w:ascii="仿宋_GB2312" w:hAnsi="宋体" w:eastAsia="仿宋_GB2312"/>
                <w:color w:val="000000"/>
                <w:sz w:val="24"/>
              </w:rPr>
            </w:pPr>
            <w:r>
              <w:rPr>
                <w:rFonts w:hint="eastAsia" w:ascii="宋体" w:hAnsi="宋体"/>
                <w:szCs w:val="21"/>
              </w:rPr>
              <w:t>实验师</w:t>
            </w:r>
          </w:p>
        </w:tc>
        <w:tc>
          <w:tcPr>
            <w:tcW w:w="1653" w:type="dxa"/>
            <w:vAlign w:val="center"/>
          </w:tcPr>
          <w:p w14:paraId="33A54BA6">
            <w:pPr>
              <w:rPr>
                <w:rFonts w:ascii="仿宋_GB2312" w:hAnsi="宋体" w:eastAsia="仿宋_GB2312"/>
                <w:color w:val="000000"/>
                <w:sz w:val="24"/>
              </w:rPr>
            </w:pPr>
            <w:r>
              <w:rPr>
                <w:rFonts w:ascii="宋体" w:hAnsi="宋体"/>
                <w:szCs w:val="21"/>
              </w:rPr>
              <w:t>参与编制</w:t>
            </w:r>
          </w:p>
        </w:tc>
      </w:tr>
      <w:tr w14:paraId="62FDD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dxa"/>
            <w:vAlign w:val="center"/>
          </w:tcPr>
          <w:p w14:paraId="2235083D">
            <w:pPr>
              <w:rPr>
                <w:rFonts w:ascii="仿宋_GB2312" w:hAnsi="宋体" w:eastAsia="仿宋_GB2312"/>
                <w:color w:val="000000"/>
                <w:sz w:val="24"/>
              </w:rPr>
            </w:pPr>
            <w:r>
              <w:rPr>
                <w:rFonts w:hint="eastAsia" w:ascii="宋体" w:hAnsi="宋体"/>
                <w:szCs w:val="21"/>
              </w:rPr>
              <w:t>黄艳</w:t>
            </w:r>
          </w:p>
        </w:tc>
        <w:tc>
          <w:tcPr>
            <w:tcW w:w="3686" w:type="dxa"/>
            <w:vAlign w:val="center"/>
          </w:tcPr>
          <w:p w14:paraId="2F38DBE9">
            <w:pPr>
              <w:rPr>
                <w:rFonts w:ascii="仿宋_GB2312" w:hAnsi="宋体" w:eastAsia="仿宋_GB2312"/>
                <w:color w:val="000000"/>
                <w:sz w:val="24"/>
              </w:rPr>
            </w:pPr>
            <w:r>
              <w:rPr>
                <w:rFonts w:hint="eastAsia" w:ascii="宋体" w:hAnsi="宋体"/>
                <w:szCs w:val="21"/>
              </w:rPr>
              <w:t>培力（南宁）药业有限公司</w:t>
            </w:r>
          </w:p>
        </w:tc>
        <w:tc>
          <w:tcPr>
            <w:tcW w:w="1919" w:type="dxa"/>
            <w:vAlign w:val="center"/>
          </w:tcPr>
          <w:p w14:paraId="0372586B">
            <w:pPr>
              <w:rPr>
                <w:rFonts w:ascii="仿宋_GB2312" w:hAnsi="宋体" w:eastAsia="仿宋_GB2312"/>
                <w:color w:val="000000"/>
                <w:sz w:val="24"/>
              </w:rPr>
            </w:pPr>
            <w:r>
              <w:rPr>
                <w:rFonts w:hint="eastAsia" w:ascii="宋体" w:hAnsi="宋体"/>
                <w:szCs w:val="21"/>
              </w:rPr>
              <w:t>副高级工程师</w:t>
            </w:r>
          </w:p>
        </w:tc>
        <w:tc>
          <w:tcPr>
            <w:tcW w:w="1653" w:type="dxa"/>
            <w:vAlign w:val="center"/>
          </w:tcPr>
          <w:p w14:paraId="63575FB2">
            <w:pPr>
              <w:rPr>
                <w:rFonts w:ascii="仿宋_GB2312" w:hAnsi="宋体" w:eastAsia="仿宋_GB2312"/>
                <w:color w:val="000000"/>
                <w:sz w:val="24"/>
              </w:rPr>
            </w:pPr>
            <w:r>
              <w:rPr>
                <w:rFonts w:hint="eastAsia" w:ascii="宋体" w:hAnsi="宋体"/>
                <w:szCs w:val="21"/>
              </w:rPr>
              <w:t>方法开发</w:t>
            </w:r>
          </w:p>
        </w:tc>
      </w:tr>
    </w:tbl>
    <w:p w14:paraId="51698392">
      <w:pPr>
        <w:numPr>
          <w:ilvl w:val="0"/>
          <w:numId w:val="2"/>
        </w:numPr>
        <w:spacing w:line="500" w:lineRule="exact"/>
        <w:ind w:firstLine="646" w:firstLineChars="200"/>
        <w:jc w:val="left"/>
        <w:rPr>
          <w:rFonts w:eastAsia="黑体"/>
          <w:sz w:val="32"/>
          <w:szCs w:val="32"/>
        </w:rPr>
      </w:pPr>
      <w:r>
        <w:rPr>
          <w:rFonts w:eastAsia="黑体"/>
          <w:sz w:val="32"/>
          <w:szCs w:val="32"/>
        </w:rPr>
        <w:t>制定标准的必要性和意义</w:t>
      </w:r>
    </w:p>
    <w:p w14:paraId="08590092">
      <w:p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五指毛桃，作为桑科植物粗叶榕的干燥根，是我国传统的药食同源性植物。其不仅营养丰富，还具有极高的药用价值，素有“南方黄芪”的美誉，在岭南地区更是被列为十大名药之一。五指毛桃性平和，味甘中带辛，具有健脾补气、行气利湿、舒筋活络、行气止痛、止咳化痰、补肺通乳等多重功效。在临床应用中，常用于治疗脾虚浮肿、风湿痹痛、食少无力、产后无乳、肺痨咳嗽等病症。民间常将其用于泡酒，泡制出的酒口感甘甜醇厚，层次丰富且柔和，带有一股天然的淡淡椰香味，深受大众喜爱。</w:t>
      </w:r>
    </w:p>
    <w:p w14:paraId="754CADE1">
      <w:p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经现代科学研究发现，五指毛桃富含挥发油、黄酮类、香豆素类、萜类和酚类等多种化学成分，这些成分正是其发挥保健功效的物质基础。目前，市场上以五指毛桃为原料开发的产品种类繁多，涵盖了五指毛桃酒、五指毛桃茯苓茶、五指毛桃粉、五指毛桃膏、五指毛桃汤料包等。其中，酒类产品因其独特的制作工艺，能够最大程度地保存并浸出五指毛桃中的有效物质，相较于其他加工方式具有明显优势。然而，由于缺乏规范的生产技术规程去指导五指毛桃露酒的生产，极易导致其品质参差不齐，阻碍了产业的健康与高质量发展，亟须通过制定团体标准填补空白，规范行业发展。</w:t>
      </w:r>
    </w:p>
    <w:p w14:paraId="0C7569C7">
      <w:pPr>
        <w:spacing w:line="500" w:lineRule="exact"/>
        <w:ind w:firstLine="606" w:firstLineChars="200"/>
        <w:jc w:val="left"/>
        <w:rPr>
          <w:rFonts w:ascii="仿宋" w:hAnsi="仿宋" w:eastAsia="仿宋" w:cstheme="minorEastAsia"/>
          <w:sz w:val="30"/>
          <w:szCs w:val="30"/>
        </w:rPr>
      </w:pPr>
      <w:r>
        <w:rPr>
          <w:rFonts w:hint="eastAsia" w:ascii="仿宋_GB2312" w:hAnsi="宋体" w:eastAsia="仿宋_GB2312"/>
          <w:color w:val="000000"/>
          <w:sz w:val="30"/>
          <w:szCs w:val="30"/>
        </w:rPr>
        <w:t>为契合《广西食品工业高质量发展“十四五”规划》中推动药食同源产业发展等要求，制定五指毛桃露酒生产技术规程团体标准迫在眉睫。该标准将依据相关法规与行业通行准则，对五指毛桃露酒的原料选择、生产工艺、感官指标、理化指标、检验方法、包装标识等方面做出明确且细致的规定，为五指毛桃露酒的全产业链提供清晰、精准的指导与规范。通过实施该标准，一方面能够有效规范企业生产行为，确保产品质量稳定可靠，切实维护消费者合法权益；另一方面可充分发挥标准的引领作用，促进产业资源的合理配置与高效利用，激励企业加大在技术创新、产品研发等方面的投入力度，全面提升五指毛桃露酒的市场竞争力，推动整个产业朝着标准化、规范化、专业化的方向稳健前行，实现可持续发展的长远目标。</w:t>
      </w:r>
    </w:p>
    <w:p w14:paraId="1DC854AA">
      <w:pPr>
        <w:pStyle w:val="2"/>
        <w:spacing w:before="0" w:after="0" w:line="500" w:lineRule="exact"/>
        <w:rPr>
          <w:rFonts w:ascii="黑体" w:hAnsi="黑体" w:eastAsia="黑体"/>
          <w:color w:val="000000" w:themeColor="text1"/>
          <w:sz w:val="32"/>
          <w:szCs w:val="32"/>
        </w:rPr>
      </w:pPr>
      <w:r>
        <w:rPr>
          <w:rFonts w:hint="eastAsia" w:ascii="黑体" w:hAnsi="黑体" w:eastAsia="黑体"/>
          <w:color w:val="000000" w:themeColor="text1"/>
          <w:sz w:val="32"/>
          <w:szCs w:val="32"/>
        </w:rPr>
        <w:t>三、主要起草过程</w:t>
      </w:r>
    </w:p>
    <w:p w14:paraId="5F6B2603">
      <w:pPr>
        <w:spacing w:line="500" w:lineRule="exact"/>
        <w:ind w:firstLine="646" w:firstLineChars="200"/>
        <w:rPr>
          <w:rFonts w:ascii="仿宋_GB2312" w:hAnsi="宋体" w:eastAsia="仿宋_GB2312"/>
          <w:b/>
          <w:bCs/>
          <w:color w:val="000000"/>
          <w:sz w:val="30"/>
          <w:szCs w:val="30"/>
        </w:rPr>
      </w:pPr>
      <w:r>
        <w:rPr>
          <w:rFonts w:eastAsia="楷体"/>
          <w:b/>
          <w:sz w:val="32"/>
          <w:szCs w:val="32"/>
        </w:rPr>
        <w:t>（一）成立标准编制工作组</w:t>
      </w:r>
    </w:p>
    <w:p w14:paraId="58455448">
      <w:pPr>
        <w:ind w:firstLine="606" w:firstLineChars="200"/>
        <w:rPr>
          <w:rFonts w:ascii="宋体" w:hAnsi="宋体" w:eastAsiaTheme="minorEastAsia" w:cstheme="minorBidi"/>
          <w:sz w:val="24"/>
          <w:szCs w:val="21"/>
        </w:rPr>
      </w:pPr>
      <w:r>
        <w:rPr>
          <w:rFonts w:hint="eastAsia" w:ascii="仿宋_GB2312" w:hAnsi="宋体" w:eastAsia="仿宋_GB2312"/>
          <w:color w:val="000000" w:themeColor="text1"/>
          <w:sz w:val="30"/>
          <w:szCs w:val="30"/>
        </w:rPr>
        <w:t>2025年11月19日-12月31日</w:t>
      </w:r>
      <w:r>
        <w:rPr>
          <w:rFonts w:hint="eastAsia" w:ascii="仿宋_GB2312" w:hAnsi="宋体" w:eastAsia="仿宋_GB2312"/>
          <w:color w:val="000000"/>
          <w:sz w:val="30"/>
          <w:szCs w:val="30"/>
        </w:rPr>
        <w:t>，标准制定任务下达后，首先确定了工作组的主要组成人员及人员分工，主要由从事标准制修订、检测分析的专业研究人员组成；召开了标准起草会议，项目负责人对标准的立项情况做了详细介绍，制定了标准研制的总体思路和框架。</w:t>
      </w:r>
    </w:p>
    <w:p w14:paraId="1AEA5911">
      <w:pPr>
        <w:spacing w:line="500" w:lineRule="exact"/>
        <w:ind w:firstLine="646" w:firstLineChars="200"/>
        <w:rPr>
          <w:rFonts w:eastAsia="楷体"/>
          <w:b/>
          <w:sz w:val="32"/>
          <w:szCs w:val="32"/>
        </w:rPr>
      </w:pPr>
      <w:r>
        <w:rPr>
          <w:rFonts w:eastAsia="楷体"/>
          <w:b/>
          <w:sz w:val="32"/>
          <w:szCs w:val="32"/>
        </w:rPr>
        <w:t>（二）收集整理文献资料</w:t>
      </w:r>
    </w:p>
    <w:p w14:paraId="649B0FDB">
      <w:pPr>
        <w:spacing w:line="500" w:lineRule="exact"/>
        <w:ind w:firstLine="646" w:firstLineChars="200"/>
        <w:rPr>
          <w:rFonts w:eastAsia="楷体"/>
          <w:sz w:val="32"/>
          <w:szCs w:val="32"/>
        </w:rPr>
      </w:pPr>
      <w:r>
        <w:rPr>
          <w:rFonts w:hint="eastAsia" w:eastAsia="楷体"/>
          <w:sz w:val="32"/>
          <w:szCs w:val="32"/>
        </w:rPr>
        <w:t>标准编制工作组收集了国内与五指毛桃露酒生产相关的资料。主要有：</w:t>
      </w:r>
    </w:p>
    <w:p w14:paraId="2B733395">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[1]苏静红,梁永娟,李锦清,等.五指毛桃饮片标准汤剂的质量评价研究[J].食品与药品,2024,26(06):547-553.</w:t>
      </w:r>
    </w:p>
    <w:p w14:paraId="6306CF17">
      <w:pPr>
        <w:pStyle w:val="6"/>
        <w:widowControl w:val="0"/>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[2]</w:t>
      </w:r>
      <w:r>
        <w:rPr>
          <w:rFonts w:hint="eastAsia" w:ascii="仿宋_GB2312" w:eastAsia="仿宋_GB2312" w:cs="Times New Roman"/>
          <w:color w:val="000000"/>
          <w:kern w:val="2"/>
          <w:szCs w:val="30"/>
        </w:rPr>
        <w:tab/>
      </w:r>
      <w:r>
        <w:rPr>
          <w:rFonts w:hint="eastAsia" w:ascii="仿宋_GB2312" w:eastAsia="仿宋_GB2312" w:cs="Times New Roman"/>
          <w:color w:val="000000"/>
          <w:kern w:val="2"/>
          <w:szCs w:val="30"/>
        </w:rPr>
        <w:t>叶亚娜,燕青,李文秀,等.五指毛桃化学成分、提取工艺和药理作用研究进展[J].药学研究,2024,43(10):1001-1007+1028.</w:t>
      </w:r>
    </w:p>
    <w:p w14:paraId="4081B5F6">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[3]</w:t>
      </w:r>
      <w:r>
        <w:rPr>
          <w:rFonts w:hint="eastAsia" w:ascii="仿宋_GB2312" w:eastAsia="仿宋_GB2312" w:cs="Times New Roman"/>
          <w:color w:val="000000"/>
          <w:kern w:val="2"/>
          <w:szCs w:val="30"/>
        </w:rPr>
        <w:tab/>
      </w:r>
      <w:r>
        <w:rPr>
          <w:rFonts w:hint="eastAsia" w:ascii="仿宋_GB2312" w:eastAsia="仿宋_GB2312" w:cs="Times New Roman"/>
          <w:color w:val="000000"/>
          <w:kern w:val="2"/>
          <w:szCs w:val="30"/>
        </w:rPr>
        <w:t>任二芳,韦志福,庞成友,等.不同产地沃柑品质差异分析[J].食品研究与开发,2024,45(12):150-155.</w:t>
      </w:r>
    </w:p>
    <w:p w14:paraId="22FC0470">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[4]</w:t>
      </w:r>
      <w:r>
        <w:rPr>
          <w:rFonts w:hint="eastAsia" w:ascii="仿宋_GB2312" w:eastAsia="仿宋_GB2312" w:cs="Times New Roman"/>
          <w:color w:val="000000"/>
          <w:kern w:val="2"/>
          <w:szCs w:val="30"/>
        </w:rPr>
        <w:tab/>
      </w:r>
      <w:r>
        <w:rPr>
          <w:rFonts w:hint="eastAsia" w:ascii="仿宋_GB2312" w:eastAsia="仿宋_GB2312" w:cs="Times New Roman"/>
          <w:color w:val="000000"/>
          <w:kern w:val="2"/>
          <w:szCs w:val="30"/>
        </w:rPr>
        <w:t>童凯,付继梅,王国良,等.瓜蒌薤白保健酒制备工艺优化及其抗氧化活性评价[J].中国酿造,2024,43(07):215-221.</w:t>
      </w:r>
    </w:p>
    <w:p w14:paraId="4BF66297">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[5]</w:t>
      </w:r>
      <w:r>
        <w:rPr>
          <w:rFonts w:hint="eastAsia" w:ascii="仿宋_GB2312" w:eastAsia="仿宋_GB2312" w:cs="Times New Roman"/>
          <w:color w:val="000000"/>
          <w:kern w:val="2"/>
          <w:szCs w:val="30"/>
        </w:rPr>
        <w:tab/>
      </w:r>
      <w:r>
        <w:rPr>
          <w:rFonts w:hint="eastAsia" w:ascii="仿宋_GB2312" w:eastAsia="仿宋_GB2312" w:cs="Times New Roman"/>
          <w:color w:val="000000"/>
          <w:kern w:val="2"/>
          <w:szCs w:val="30"/>
        </w:rPr>
        <w:t>张蕾,侯臻臻,陈可涛.柿叶露酒的微波制备工艺及抗氧化性质研究[J].食品安全导刊,2023,(32):146-150+185.</w:t>
      </w:r>
    </w:p>
    <w:p w14:paraId="05DB3B5C">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[6]</w:t>
      </w:r>
      <w:r>
        <w:rPr>
          <w:rFonts w:hint="eastAsia" w:ascii="仿宋_GB2312" w:eastAsia="仿宋_GB2312" w:cs="Times New Roman"/>
          <w:color w:val="000000"/>
          <w:kern w:val="2"/>
          <w:szCs w:val="30"/>
        </w:rPr>
        <w:tab/>
      </w:r>
      <w:r>
        <w:rPr>
          <w:rFonts w:hint="eastAsia" w:ascii="仿宋_GB2312" w:eastAsia="仿宋_GB2312" w:cs="Times New Roman"/>
          <w:color w:val="000000"/>
          <w:kern w:val="2"/>
          <w:szCs w:val="30"/>
        </w:rPr>
        <w:t>王娟,魏贞,石明生,等.拐枣山楂果酒发酵工艺优化及其抗氧化活性分析[J].中国酿造,2022,41(11):169-173.</w:t>
      </w:r>
    </w:p>
    <w:p w14:paraId="37DB3243">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[7]</w:t>
      </w:r>
      <w:r>
        <w:rPr>
          <w:rFonts w:hint="eastAsia" w:ascii="仿宋_GB2312" w:eastAsia="仿宋_GB2312" w:cs="Times New Roman"/>
          <w:color w:val="000000"/>
          <w:kern w:val="2"/>
          <w:szCs w:val="30"/>
        </w:rPr>
        <w:tab/>
      </w:r>
      <w:r>
        <w:rPr>
          <w:rFonts w:hint="eastAsia" w:ascii="仿宋_GB2312" w:eastAsia="仿宋_GB2312" w:cs="Times New Roman"/>
          <w:color w:val="000000"/>
          <w:kern w:val="2"/>
          <w:szCs w:val="30"/>
        </w:rPr>
        <w:t xml:space="preserve">许耀珑.金樱子保健酒的制备及其抗疲劳和抗衰老作用研究[D].广西医科大学,2020. </w:t>
      </w:r>
    </w:p>
    <w:p w14:paraId="34AF8C2A">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[8]</w:t>
      </w:r>
      <w:r>
        <w:rPr>
          <w:rFonts w:hint="eastAsia" w:ascii="仿宋_GB2312" w:eastAsia="仿宋_GB2312" w:cs="Times New Roman"/>
          <w:color w:val="000000"/>
          <w:kern w:val="2"/>
          <w:szCs w:val="30"/>
        </w:rPr>
        <w:tab/>
      </w:r>
      <w:r>
        <w:rPr>
          <w:rFonts w:hint="eastAsia" w:ascii="仿宋_GB2312" w:eastAsia="仿宋_GB2312" w:cs="Times New Roman"/>
          <w:color w:val="000000"/>
          <w:kern w:val="2"/>
          <w:szCs w:val="30"/>
        </w:rPr>
        <w:t>陈颖,朱禹哲,余美丽,等.复合露酒的非挥发性成分鉴定及抗疲劳效应[J].中国酿造,2024,43(08):86-92.</w:t>
      </w:r>
    </w:p>
    <w:p w14:paraId="1AE7A014">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[9]</w:t>
      </w:r>
      <w:r>
        <w:rPr>
          <w:rFonts w:hint="eastAsia" w:ascii="仿宋_GB2312" w:eastAsia="仿宋_GB2312" w:cs="Times New Roman"/>
          <w:color w:val="000000"/>
          <w:kern w:val="2"/>
          <w:szCs w:val="30"/>
        </w:rPr>
        <w:tab/>
      </w:r>
      <w:r>
        <w:rPr>
          <w:rFonts w:hint="eastAsia" w:ascii="仿宋_GB2312" w:eastAsia="仿宋_GB2312" w:cs="Times New Roman"/>
          <w:color w:val="000000"/>
          <w:kern w:val="2"/>
          <w:szCs w:val="30"/>
        </w:rPr>
        <w:t>牛曼思,童钰琴,李姝,等.复方金钗石斛保健酒缓解小鼠体力疲劳的研究[J].中国酿造,2020,39(12):198-202.</w:t>
      </w:r>
    </w:p>
    <w:p w14:paraId="5F0FFD60">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 xml:space="preserve">[10]陈祥,朱上能,刘相兰,等.国内露酒产业的现状分析和发展趋势[J].江苏调味副食品,2024,(02):10-13+30. </w:t>
      </w:r>
    </w:p>
    <w:p w14:paraId="0071AC3C">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[11]梁惠嘉,史爽,王纠,等.复方五指毛桃膏对小鼠慢性疲劳综合征的改善作用[J].广东药科大学学报,2024,40(03):11-17.</w:t>
      </w:r>
    </w:p>
    <w:p w14:paraId="55A65F00">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 xml:space="preserve">[12]张茹,曲中原,杜娟.基于Nrf2-HO-1/CYP2E1通路探讨五指毛桃醇提取物对酒精性肝损伤小鼠的抗氧化保护机制[J].中药新药与临床药理,2021,32(12):1769-1775. </w:t>
      </w:r>
    </w:p>
    <w:p w14:paraId="283190A0">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[13]陈荣珠,王小平,李珍. 不同叶型五指毛桃总酚含量和多酚氧化物酶及抗氧化活性的比较分析 [J]. 福建热作科技, 2021, 46 (04): 14-17+28.</w:t>
      </w:r>
    </w:p>
    <w:p w14:paraId="6C927EC7">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 xml:space="preserve">[14]桂青,王秀全,黄坚雄,等.不同干燥方式对五指毛桃品质的影响[J].食品工业科技,2023,44(06):58-65. </w:t>
      </w:r>
    </w:p>
    <w:p w14:paraId="1EDD1C39">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[15]只德贤,李建颖,欧燕芳,等.黑果腺肋花楸原花青素提取工艺优化及其抗氧化活性[J].食品研究与开发,2023,44(08):96-104.</w:t>
      </w:r>
    </w:p>
    <w:p w14:paraId="0C8988E6">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[16]李安,刘小雨,张惟广.发酵及贮藏条件对蓝莓果酒花色苷稳定性的影响及其抗氧化性研究[J].中国酿造,2020,39(02):146-151.</w:t>
      </w:r>
    </w:p>
    <w:p w14:paraId="52136792">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[17]孙悦,刘晓冰,苏卓文,等.微波辅助低共熔溶剂提取鹰嘴豆中黄酮及其抗氧化活性的研究[J].食品工业科技,2020,41(14):120-128.</w:t>
      </w:r>
    </w:p>
    <w:p w14:paraId="1826D994">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[18]安军.苦荞酒中总黄酮含量的测定[J].食品安全导刊,2022,(23):62-64+68.</w:t>
      </w:r>
    </w:p>
    <w:p w14:paraId="7BB164E3">
      <w:pPr>
        <w:pStyle w:val="6"/>
        <w:adjustRightInd w:val="0"/>
        <w:snapToGrid w:val="0"/>
        <w:spacing w:before="0" w:beforeAutospacing="0" w:after="0" w:afterAutospacing="0" w:line="500" w:lineRule="exact"/>
        <w:ind w:firstLine="486" w:firstLineChars="200"/>
        <w:rPr>
          <w:rFonts w:ascii="仿宋_GB2312" w:eastAsia="仿宋_GB2312" w:cs="Times New Roman"/>
          <w:color w:val="000000"/>
          <w:kern w:val="2"/>
          <w:szCs w:val="30"/>
        </w:rPr>
      </w:pPr>
      <w:r>
        <w:rPr>
          <w:rFonts w:hint="eastAsia" w:ascii="仿宋_GB2312" w:eastAsia="仿宋_GB2312" w:cs="Times New Roman"/>
          <w:color w:val="000000"/>
          <w:kern w:val="2"/>
          <w:szCs w:val="30"/>
        </w:rPr>
        <w:t>[19]王腾飞,裴淑芳,杨佳丽,等.毛建茶茶汤色差与感官品质的相关性分析[J].中国食品学报,2024,24(03):298-305.</w:t>
      </w:r>
    </w:p>
    <w:p w14:paraId="19AC9F2A">
      <w:pPr>
        <w:spacing w:line="500" w:lineRule="exact"/>
        <w:ind w:firstLine="646" w:firstLineChars="200"/>
        <w:rPr>
          <w:rFonts w:eastAsia="楷体"/>
          <w:b/>
          <w:sz w:val="32"/>
          <w:szCs w:val="32"/>
        </w:rPr>
      </w:pPr>
      <w:r>
        <w:rPr>
          <w:rFonts w:eastAsia="楷体"/>
          <w:b/>
          <w:sz w:val="32"/>
          <w:szCs w:val="32"/>
        </w:rPr>
        <w:t>（三）</w:t>
      </w:r>
      <w:r>
        <w:rPr>
          <w:rFonts w:hint="eastAsia" w:eastAsia="楷体"/>
          <w:b/>
          <w:sz w:val="32"/>
          <w:szCs w:val="32"/>
        </w:rPr>
        <w:t>研讨确定标准特色、创新点和主体内容</w:t>
      </w:r>
    </w:p>
    <w:p w14:paraId="24B74896">
      <w:pPr>
        <w:spacing w:line="500" w:lineRule="exact"/>
        <w:ind w:firstLine="646" w:firstLineChars="200"/>
        <w:rPr>
          <w:rFonts w:eastAsia="楷体"/>
          <w:b/>
          <w:sz w:val="32"/>
          <w:szCs w:val="32"/>
        </w:rPr>
      </w:pPr>
      <w:r>
        <w:rPr>
          <w:rFonts w:hint="eastAsia" w:eastAsia="楷体"/>
          <w:b/>
          <w:sz w:val="32"/>
          <w:szCs w:val="32"/>
        </w:rPr>
        <w:t>1、特色及创新点</w:t>
      </w:r>
    </w:p>
    <w:p w14:paraId="1D3D5D2A">
      <w:pPr>
        <w:spacing w:line="500" w:lineRule="exact"/>
        <w:ind w:firstLine="646" w:firstLineChars="200"/>
        <w:rPr>
          <w:rFonts w:eastAsia="仿宋_GB2312"/>
          <w:sz w:val="32"/>
          <w:szCs w:val="32"/>
        </w:rPr>
      </w:pPr>
      <w:r>
        <w:rPr>
          <w:rFonts w:hint="eastAsia" w:eastAsia="仿宋_GB2312"/>
          <w:sz w:val="32"/>
          <w:szCs w:val="32"/>
        </w:rPr>
        <w:t>1.1岭南地域特色</w:t>
      </w:r>
    </w:p>
    <w:p w14:paraId="1B711100">
      <w:pPr>
        <w:spacing w:line="500" w:lineRule="exact"/>
        <w:ind w:firstLine="646" w:firstLineChars="200"/>
        <w:rPr>
          <w:rFonts w:eastAsia="仿宋_GB2312"/>
          <w:sz w:val="32"/>
          <w:szCs w:val="32"/>
        </w:rPr>
      </w:pPr>
      <w:r>
        <w:rPr>
          <w:rFonts w:hint="eastAsia" w:eastAsia="仿宋_GB2312"/>
          <w:sz w:val="32"/>
          <w:szCs w:val="32"/>
        </w:rPr>
        <w:t>五指毛桃，又名“南芪”，为岭南特色药材，其记载始见于清代《生草药性备要》，后亦载于《植物名实图考》《岭南采药录》《中国民族药志》等，现代被《广东省食品安全地方标准 五指毛桃》纳入特色食品管理，可以作为食品原料使用。岭南一带地处亚热带气候，常年雨量充沛，温度闷热潮湿，五指毛桃健脾化湿、行气舒筋之效，就常为了餐桌上少不了的经典汤底料。2026年广东省佛山市顺德陈村镇绀现村网红“莫氏鸡煲”的餐饮爆火，其主汤配料中的五指毛桃功不可没，其可行祛湿补气之功，吸引着无数食客前去排队品尝。由此可见，五指毛桃在岭南一带有深入民心的群众基础，使用广泛。</w:t>
      </w:r>
    </w:p>
    <w:p w14:paraId="162AF20E">
      <w:pPr>
        <w:spacing w:line="500" w:lineRule="exact"/>
        <w:ind w:firstLine="646" w:firstLineChars="200"/>
        <w:rPr>
          <w:rFonts w:eastAsia="仿宋_GB2312"/>
          <w:sz w:val="32"/>
          <w:szCs w:val="32"/>
        </w:rPr>
      </w:pPr>
      <w:r>
        <w:rPr>
          <w:rFonts w:hint="eastAsia" w:eastAsia="仿宋_GB2312"/>
          <w:sz w:val="32"/>
          <w:szCs w:val="32"/>
        </w:rPr>
        <w:t>优选道地的优质五指毛桃为核心原料，其独有的椰香与熟木瓜复合风味为露酒增添独特的天然香气。同时将岭南地区传承千年的“以酒为媒、萃草本功效入饮”的露酒酿造传统智慧纳入标准体系，把客家社群世代传承的食养实践经验转化为可落地执行的生产规范，使最终产出的产品成为兼具植物属性、地域标识、生活特质的岭南特色液态文化载体。</w:t>
      </w:r>
    </w:p>
    <w:p w14:paraId="0CAD7A0E">
      <w:pPr>
        <w:spacing w:line="500" w:lineRule="exact"/>
        <w:ind w:firstLine="646" w:firstLineChars="200"/>
        <w:rPr>
          <w:rFonts w:eastAsia="仿宋_GB2312"/>
          <w:sz w:val="32"/>
          <w:szCs w:val="32"/>
        </w:rPr>
      </w:pPr>
      <w:r>
        <w:rPr>
          <w:rFonts w:hint="eastAsia" w:eastAsia="仿宋_GB2312"/>
          <w:sz w:val="32"/>
          <w:szCs w:val="32"/>
        </w:rPr>
        <w:t>1.2工艺全流程标准化，破解传统生产痛点</w:t>
      </w:r>
    </w:p>
    <w:p w14:paraId="400458A1">
      <w:pPr>
        <w:spacing w:line="500" w:lineRule="exact"/>
        <w:ind w:firstLine="646" w:firstLineChars="200"/>
        <w:rPr>
          <w:rFonts w:eastAsia="仿宋_GB2312"/>
          <w:sz w:val="32"/>
          <w:szCs w:val="32"/>
        </w:rPr>
      </w:pPr>
      <w:r>
        <w:rPr>
          <w:rFonts w:hint="eastAsia" w:eastAsia="仿宋_GB2312"/>
          <w:sz w:val="32"/>
          <w:szCs w:val="32"/>
        </w:rPr>
        <w:t>规程打破了过往五指毛桃露酒小作坊式生产的随意性，从原料处理环节就设定统一标准：明确五指毛桃根需经过低温烘干、分段切片等预处理流程，在浸提环节规范了浸提比例、温度等具体工艺参数，充分萃取五指毛桃根中的香豆素、挥发油等风味活性物质，让露酒呈现出特色风味与香气。</w:t>
      </w:r>
    </w:p>
    <w:p w14:paraId="0B61A665">
      <w:pPr>
        <w:spacing w:line="500" w:lineRule="exact"/>
        <w:ind w:firstLine="646" w:firstLineChars="200"/>
        <w:rPr>
          <w:rFonts w:eastAsia="仿宋_GB2312"/>
          <w:sz w:val="32"/>
          <w:szCs w:val="32"/>
        </w:rPr>
      </w:pPr>
      <w:r>
        <w:rPr>
          <w:rFonts w:hint="eastAsia" w:eastAsia="仿宋_GB2312"/>
          <w:sz w:val="32"/>
          <w:szCs w:val="32"/>
        </w:rPr>
        <w:t>1.3严守品质底线，兼顾食养属性与饮用安全</w:t>
      </w:r>
    </w:p>
    <w:p w14:paraId="74AFD435">
      <w:pPr>
        <w:spacing w:line="500" w:lineRule="exact"/>
        <w:ind w:firstLine="646" w:firstLineChars="200"/>
        <w:rPr>
          <w:rFonts w:eastAsia="仿宋_GB2312"/>
          <w:sz w:val="32"/>
          <w:szCs w:val="32"/>
        </w:rPr>
      </w:pPr>
      <w:r>
        <w:rPr>
          <w:rFonts w:hint="eastAsia" w:eastAsia="仿宋_GB2312"/>
          <w:sz w:val="32"/>
          <w:szCs w:val="32"/>
        </w:rPr>
        <w:t>规程针对性设定了有关食品安全控制指标，在保留五指毛桃根中活性物质的同时，严格规范食品添加剂使用范围，明确要求产品不添加香精、不人工调色，杜绝靠香精勾兑的劣质产品流入市场。通过标准化的澄清、过滤流程，在保留产品原生风味的前提下，大幅提升了饮用安全性与品质稳定性，为广西露酒行业树立了高质量发展的新标杆。</w:t>
      </w:r>
    </w:p>
    <w:p w14:paraId="5FB77911">
      <w:pPr>
        <w:spacing w:line="500" w:lineRule="exact"/>
        <w:ind w:firstLine="646" w:firstLineChars="200"/>
        <w:rPr>
          <w:rFonts w:eastAsia="楷体"/>
          <w:b/>
          <w:sz w:val="32"/>
          <w:szCs w:val="32"/>
        </w:rPr>
      </w:pPr>
      <w:r>
        <w:rPr>
          <w:rFonts w:hint="eastAsia" w:eastAsia="楷体"/>
          <w:b/>
          <w:sz w:val="32"/>
          <w:szCs w:val="32"/>
        </w:rPr>
        <w:t>2、主体内容</w:t>
      </w:r>
    </w:p>
    <w:p w14:paraId="472E6004">
      <w:pPr>
        <w:spacing w:line="500" w:lineRule="exact"/>
        <w:ind w:firstLine="646" w:firstLineChars="200"/>
        <w:rPr>
          <w:rFonts w:eastAsia="楷体"/>
          <w:b/>
          <w:sz w:val="32"/>
          <w:szCs w:val="32"/>
        </w:rPr>
      </w:pPr>
      <w:r>
        <w:rPr>
          <w:rFonts w:eastAsia="仿宋_GB2312"/>
          <w:sz w:val="32"/>
          <w:szCs w:val="32"/>
        </w:rPr>
        <w:t>标准编制工作组在对收集的资料进行整理研究之后，标准编制工作组召开了标准编制会议，对标准的整体框架结构进行了研究，并对标准的关键性内容进行了初步探讨。经过研究，标准的主体内容确定为</w:t>
      </w:r>
      <w:r>
        <w:rPr>
          <w:rFonts w:hint="eastAsia" w:eastAsia="仿宋_GB2312"/>
          <w:sz w:val="32"/>
          <w:szCs w:val="32"/>
        </w:rPr>
        <w:t>术语和定义、设备与环境选择、生产流程、生产操作、档案记录</w:t>
      </w:r>
      <w:r>
        <w:rPr>
          <w:rFonts w:eastAsia="仿宋_GB2312"/>
          <w:sz w:val="32"/>
          <w:szCs w:val="32"/>
        </w:rPr>
        <w:t>。</w:t>
      </w:r>
    </w:p>
    <w:p w14:paraId="4633BAF7">
      <w:pPr>
        <w:spacing w:line="500" w:lineRule="exact"/>
        <w:ind w:firstLine="646" w:firstLineChars="200"/>
        <w:rPr>
          <w:rFonts w:eastAsia="楷体"/>
          <w:b/>
          <w:sz w:val="32"/>
          <w:szCs w:val="32"/>
        </w:rPr>
      </w:pPr>
      <w:r>
        <w:rPr>
          <w:rFonts w:eastAsia="楷体"/>
          <w:b/>
          <w:sz w:val="32"/>
          <w:szCs w:val="32"/>
        </w:rPr>
        <w:t>（四）调研</w:t>
      </w:r>
      <w:r>
        <w:rPr>
          <w:rFonts w:hint="eastAsia" w:eastAsia="楷体"/>
          <w:b/>
          <w:sz w:val="32"/>
          <w:szCs w:val="32"/>
        </w:rPr>
        <w:t>及</w:t>
      </w:r>
      <w:r>
        <w:rPr>
          <w:rFonts w:eastAsia="楷体"/>
          <w:b/>
          <w:sz w:val="32"/>
          <w:szCs w:val="32"/>
        </w:rPr>
        <w:t>形成</w:t>
      </w:r>
      <w:r>
        <w:rPr>
          <w:rFonts w:hint="eastAsia" w:eastAsia="楷体"/>
          <w:b/>
          <w:sz w:val="32"/>
          <w:szCs w:val="32"/>
        </w:rPr>
        <w:t>草案、</w:t>
      </w:r>
      <w:r>
        <w:rPr>
          <w:rFonts w:eastAsia="楷体"/>
          <w:b/>
          <w:sz w:val="32"/>
          <w:szCs w:val="32"/>
        </w:rPr>
        <w:t>征求意见稿</w:t>
      </w:r>
    </w:p>
    <w:p w14:paraId="542D85D6">
      <w:p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themeColor="text1"/>
          <w:sz w:val="30"/>
          <w:szCs w:val="30"/>
        </w:rPr>
        <w:t>2026年1月-3月，</w:t>
      </w:r>
      <w:r>
        <w:rPr>
          <w:rFonts w:hint="eastAsia" w:ascii="仿宋_GB2312" w:hAnsi="宋体" w:eastAsia="仿宋_GB2312"/>
          <w:color w:val="000000"/>
          <w:sz w:val="30"/>
          <w:szCs w:val="30"/>
        </w:rPr>
        <w:t>工作组对五指毛桃露酒的生产加工现状进行初步调研，调研的企业有：广西厚德药业有限公司、广西强寿集团有限公司、广州香味源有限公司、格瑞食品（中山）有限公司、广西神蜉酒厂等。收集相关材料，成立标准起草小组。根据实际调研情况，分析五指毛桃露酒生产加工的要求，确定标准框架结构和主要章节内容。</w:t>
      </w:r>
    </w:p>
    <w:p w14:paraId="43CA1348">
      <w:pPr>
        <w:tabs>
          <w:tab w:val="left" w:pos="312"/>
        </w:tabs>
        <w:spacing w:line="500" w:lineRule="exact"/>
        <w:ind w:firstLine="649"/>
        <w:rPr>
          <w:rFonts w:ascii="仿宋_GB2312" w:hAnsi="宋体" w:eastAsia="仿宋_GB2312"/>
          <w:b/>
          <w:bCs/>
          <w:color w:val="000000" w:themeColor="text1"/>
          <w:sz w:val="30"/>
          <w:szCs w:val="30"/>
        </w:rPr>
      </w:pPr>
      <w:r>
        <w:rPr>
          <w:rFonts w:hint="eastAsia" w:ascii="仿宋_GB2312" w:hAnsi="宋体" w:eastAsia="仿宋_GB2312"/>
          <w:color w:val="000000" w:themeColor="text1"/>
          <w:sz w:val="30"/>
          <w:szCs w:val="30"/>
        </w:rPr>
        <w:t>2026年3月-4月，进一步落实关键控制点与技术参数或指标，形成标准草案的初步框架。</w:t>
      </w:r>
    </w:p>
    <w:p w14:paraId="6C6E1103">
      <w:p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themeColor="text1"/>
          <w:sz w:val="30"/>
          <w:szCs w:val="30"/>
        </w:rPr>
        <w:t>2026年4月-6月，工作</w:t>
      </w:r>
      <w:r>
        <w:rPr>
          <w:rFonts w:hint="eastAsia" w:ascii="仿宋_GB2312" w:hAnsi="宋体" w:eastAsia="仿宋_GB2312"/>
          <w:color w:val="000000"/>
          <w:sz w:val="30"/>
          <w:szCs w:val="30"/>
        </w:rPr>
        <w:t>组查阅、收集和整理了国内外有关研究进展和专利、标准、法规等文献资料。根据实验结果，工作组共同讨论起草形成了团体标准《五指毛桃露酒生产技术规程》的技术框架和主要内容，初步形成了标准草案及编制说明。</w:t>
      </w:r>
    </w:p>
    <w:p w14:paraId="30FD2EED">
      <w:p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2026年7月，标准编制工作组以草案为基础，提炼核心技术细节，广泛开展技术对比和总结，标准编制工作组多次召开会议，对标准草案进行了研究讨论和反复修改。进一步讨论完善标准草案，形成团体标准《五指毛桃露酒生产技术规程》（征求意见稿）和（征求意见稿）编制说明。</w:t>
      </w:r>
    </w:p>
    <w:p w14:paraId="5C43F037">
      <w:pPr>
        <w:adjustRightInd w:val="0"/>
        <w:spacing w:line="500" w:lineRule="exact"/>
        <w:jc w:val="left"/>
        <w:outlineLvl w:val="0"/>
        <w:rPr>
          <w:rFonts w:ascii="黑体" w:hAnsi="黑体" w:eastAsia="黑体"/>
          <w:sz w:val="32"/>
          <w:szCs w:val="32"/>
        </w:rPr>
      </w:pPr>
      <w:r>
        <w:rPr>
          <w:rFonts w:hint="eastAsia" w:ascii="黑体" w:hAnsi="黑体" w:eastAsia="黑体"/>
          <w:sz w:val="32"/>
          <w:szCs w:val="32"/>
        </w:rPr>
        <w:t>四、</w:t>
      </w:r>
      <w:r>
        <w:rPr>
          <w:rFonts w:eastAsia="黑体"/>
          <w:bCs/>
          <w:sz w:val="32"/>
          <w:szCs w:val="32"/>
        </w:rPr>
        <w:t>制定标准的原则和依据，与现行法律、法规的关系，与有关国家标准、行业标准的协调情况</w:t>
      </w:r>
    </w:p>
    <w:p w14:paraId="609A90FC">
      <w:pPr>
        <w:pStyle w:val="3"/>
        <w:spacing w:before="159" w:after="159"/>
        <w:rPr>
          <w:rFonts w:ascii="黑体" w:hAnsi="黑体"/>
          <w:sz w:val="28"/>
        </w:rPr>
      </w:pPr>
      <w:r>
        <w:rPr>
          <w:rFonts w:hint="eastAsia" w:ascii="黑体" w:hAnsi="黑体"/>
          <w:sz w:val="28"/>
          <w:szCs w:val="28"/>
        </w:rPr>
        <w:t>（一）</w:t>
      </w:r>
      <w:r>
        <w:rPr>
          <w:rFonts w:hint="eastAsia" w:ascii="黑体" w:hAnsi="黑体"/>
          <w:sz w:val="28"/>
        </w:rPr>
        <w:t>编制原则</w:t>
      </w:r>
    </w:p>
    <w:p w14:paraId="31613F63">
      <w:pPr>
        <w:spacing w:before="159" w:after="159"/>
        <w:ind w:firstLine="445" w:firstLineChars="147"/>
        <w:rPr>
          <w:rFonts w:ascii="黑体" w:hAnsi="黑体"/>
          <w:sz w:val="30"/>
          <w:szCs w:val="30"/>
        </w:rPr>
      </w:pPr>
      <w:r>
        <w:rPr>
          <w:rFonts w:eastAsia="仿宋_GB2312"/>
          <w:sz w:val="30"/>
          <w:szCs w:val="30"/>
        </w:rPr>
        <w:t>1</w:t>
      </w:r>
      <w:r>
        <w:rPr>
          <w:rFonts w:hint="eastAsia" w:eastAsia="仿宋_GB2312"/>
          <w:sz w:val="30"/>
          <w:szCs w:val="30"/>
        </w:rPr>
        <w:t>、实用性原则</w:t>
      </w:r>
    </w:p>
    <w:p w14:paraId="32D431DB">
      <w:p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本标准本着“科学可行、操作便利”的原则进行编制，结合五指毛桃露酒生产、检验、流通各环节实际情况，对原料处理、工艺参数、质量控制等关键环节开展充分调研与实验验证。</w:t>
      </w:r>
    </w:p>
    <w:p w14:paraId="70F6AB3B">
      <w:pPr>
        <w:spacing w:line="500" w:lineRule="exact"/>
        <w:ind w:firstLine="606" w:firstLineChars="200"/>
        <w:jc w:val="left"/>
        <w:rPr>
          <w:rFonts w:eastAsia="仿宋_GB2312"/>
          <w:sz w:val="30"/>
          <w:szCs w:val="30"/>
        </w:rPr>
      </w:pPr>
      <w:r>
        <w:rPr>
          <w:rFonts w:eastAsia="仿宋_GB2312"/>
          <w:sz w:val="30"/>
          <w:szCs w:val="30"/>
        </w:rPr>
        <w:t>2</w:t>
      </w:r>
      <w:r>
        <w:rPr>
          <w:rFonts w:hint="eastAsia" w:eastAsia="仿宋_GB2312"/>
          <w:sz w:val="30"/>
          <w:szCs w:val="30"/>
        </w:rPr>
        <w:t>、协调性原则</w:t>
      </w:r>
    </w:p>
    <w:p w14:paraId="4B3F6E30">
      <w:pPr>
        <w:spacing w:line="500" w:lineRule="exact"/>
        <w:ind w:firstLine="606" w:firstLineChars="200"/>
        <w:jc w:val="left"/>
        <w:rPr>
          <w:rFonts w:eastAsia="仿宋_GB2312"/>
          <w:sz w:val="30"/>
          <w:szCs w:val="30"/>
        </w:rPr>
      </w:pPr>
      <w:r>
        <w:rPr>
          <w:rFonts w:hint="eastAsia" w:eastAsia="仿宋_GB2312"/>
          <w:sz w:val="30"/>
          <w:szCs w:val="30"/>
        </w:rPr>
        <w:t>本文件编写过程中注重与五指毛桃露酒生产技术相关法律法规的协调问题，在内容上与现行法律法规、标准协调一致。</w:t>
      </w:r>
    </w:p>
    <w:p w14:paraId="439C96CF">
      <w:pPr>
        <w:spacing w:line="500" w:lineRule="exact"/>
        <w:ind w:firstLine="606" w:firstLineChars="200"/>
        <w:jc w:val="left"/>
        <w:rPr>
          <w:rFonts w:ascii="仿宋_GB2312" w:hAnsi="宋体" w:eastAsia="仿宋_GB2312"/>
          <w:color w:val="000000"/>
          <w:sz w:val="30"/>
          <w:szCs w:val="30"/>
        </w:rPr>
      </w:pPr>
      <w:r>
        <w:rPr>
          <w:rFonts w:eastAsia="仿宋_GB2312"/>
          <w:sz w:val="30"/>
          <w:szCs w:val="30"/>
        </w:rPr>
        <w:t>3</w:t>
      </w:r>
      <w:r>
        <w:rPr>
          <w:rFonts w:hint="eastAsia" w:eastAsia="仿宋_GB2312"/>
          <w:sz w:val="30"/>
          <w:szCs w:val="30"/>
        </w:rPr>
        <w:t>、规范性原则</w:t>
      </w:r>
    </w:p>
    <w:p w14:paraId="12458749">
      <w:p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本标准的格式根据GB/T 1.1 的规定编写，引用文件完全符合相关的国家标准，所引用的规范性文件都是现行有效，没有违反现行法律法规和有关国家强制性标准。</w:t>
      </w:r>
    </w:p>
    <w:p w14:paraId="736D7D9E">
      <w:pPr>
        <w:spacing w:line="500" w:lineRule="exact"/>
        <w:ind w:firstLine="606" w:firstLineChars="200"/>
        <w:jc w:val="left"/>
        <w:rPr>
          <w:rFonts w:eastAsia="仿宋_GB2312"/>
          <w:sz w:val="30"/>
          <w:szCs w:val="30"/>
        </w:rPr>
      </w:pPr>
      <w:r>
        <w:rPr>
          <w:rFonts w:eastAsia="仿宋_GB2312"/>
          <w:sz w:val="30"/>
          <w:szCs w:val="30"/>
        </w:rPr>
        <w:t>4</w:t>
      </w:r>
      <w:r>
        <w:rPr>
          <w:rFonts w:hint="eastAsia" w:eastAsia="仿宋_GB2312"/>
          <w:sz w:val="30"/>
          <w:szCs w:val="30"/>
        </w:rPr>
        <w:t>、前瞻性原则</w:t>
      </w:r>
    </w:p>
    <w:p w14:paraId="4CAF82A6">
      <w:pPr>
        <w:spacing w:line="500" w:lineRule="exact"/>
        <w:ind w:firstLine="614" w:firstLineChars="200"/>
        <w:jc w:val="left"/>
        <w:rPr>
          <w:rFonts w:ascii="仿宋_GB2312" w:hAnsi="宋体" w:eastAsia="仿宋_GB2312"/>
          <w:color w:val="000000"/>
          <w:sz w:val="30"/>
          <w:szCs w:val="30"/>
        </w:rPr>
      </w:pPr>
      <w:r>
        <w:rPr>
          <w:rFonts w:hint="eastAsia" w:ascii="仿宋_GB2312" w:hAnsi="仿宋_GB2312" w:eastAsia="仿宋_GB2312"/>
          <w:spacing w:val="2"/>
          <w:sz w:val="30"/>
          <w:szCs w:val="30"/>
        </w:rPr>
        <w:t>本文件在兼顾</w:t>
      </w:r>
      <w:r>
        <w:rPr>
          <w:rFonts w:hint="eastAsia" w:ascii="仿宋_GB2312" w:hAnsi="仿宋_GB2312" w:eastAsia="仿宋_GB2312"/>
          <w:color w:val="000000"/>
          <w:spacing w:val="2"/>
          <w:sz w:val="30"/>
          <w:szCs w:val="30"/>
        </w:rPr>
        <w:t>当前</w:t>
      </w:r>
      <w:r>
        <w:rPr>
          <w:rFonts w:hint="eastAsia" w:eastAsia="仿宋_GB2312"/>
          <w:sz w:val="30"/>
          <w:szCs w:val="30"/>
        </w:rPr>
        <w:t>五指毛桃露酒生产</w:t>
      </w:r>
      <w:r>
        <w:rPr>
          <w:rFonts w:eastAsia="仿宋_GB2312"/>
          <w:sz w:val="30"/>
          <w:szCs w:val="30"/>
        </w:rPr>
        <w:t>技术</w:t>
      </w:r>
      <w:r>
        <w:rPr>
          <w:rFonts w:hint="eastAsia" w:ascii="仿宋_GB2312" w:hAnsi="仿宋_GB2312" w:eastAsia="仿宋_GB2312"/>
          <w:color w:val="000000"/>
          <w:spacing w:val="2"/>
          <w:sz w:val="30"/>
          <w:szCs w:val="30"/>
        </w:rPr>
        <w:t>现实情况的同时，还考虑到了</w:t>
      </w:r>
      <w:r>
        <w:rPr>
          <w:rFonts w:hint="eastAsia" w:eastAsia="仿宋_GB2312"/>
          <w:sz w:val="30"/>
          <w:szCs w:val="30"/>
        </w:rPr>
        <w:t>五指毛桃露酒生产</w:t>
      </w:r>
      <w:r>
        <w:rPr>
          <w:rFonts w:eastAsia="仿宋_GB2312"/>
          <w:sz w:val="30"/>
          <w:szCs w:val="30"/>
        </w:rPr>
        <w:t>技术</w:t>
      </w:r>
      <w:r>
        <w:rPr>
          <w:rFonts w:hint="eastAsia" w:ascii="仿宋_GB2312" w:hAnsi="仿宋_GB2312" w:eastAsia="仿宋_GB2312"/>
          <w:color w:val="000000"/>
          <w:spacing w:val="2"/>
          <w:sz w:val="30"/>
          <w:szCs w:val="30"/>
        </w:rPr>
        <w:t>快速发展的趋势和需要，在标准中体现了个别特色性、前瞻性和先进性条款，作为对</w:t>
      </w:r>
      <w:r>
        <w:rPr>
          <w:rFonts w:hint="eastAsia" w:eastAsia="仿宋_GB2312"/>
          <w:sz w:val="30"/>
          <w:szCs w:val="30"/>
        </w:rPr>
        <w:t>五指毛桃露酒生产</w:t>
      </w:r>
      <w:r>
        <w:rPr>
          <w:rFonts w:eastAsia="仿宋_GB2312"/>
          <w:sz w:val="30"/>
          <w:szCs w:val="30"/>
        </w:rPr>
        <w:t>技术</w:t>
      </w:r>
      <w:r>
        <w:rPr>
          <w:rFonts w:hint="eastAsia" w:ascii="仿宋_GB2312" w:hAnsi="仿宋_GB2312" w:eastAsia="仿宋_GB2312"/>
          <w:color w:val="000000"/>
          <w:spacing w:val="2"/>
          <w:sz w:val="30"/>
          <w:szCs w:val="30"/>
        </w:rPr>
        <w:t>发展的指导</w:t>
      </w:r>
      <w:r>
        <w:rPr>
          <w:rFonts w:hint="eastAsia" w:ascii="仿宋_GB2312" w:hAnsi="仿宋_GB2312" w:eastAsia="仿宋_GB2312"/>
          <w:spacing w:val="2"/>
          <w:sz w:val="30"/>
          <w:szCs w:val="30"/>
        </w:rPr>
        <w:t>。</w:t>
      </w:r>
    </w:p>
    <w:p w14:paraId="6490407D">
      <w:pPr>
        <w:pStyle w:val="3"/>
        <w:spacing w:before="159" w:after="159"/>
        <w:rPr>
          <w:rFonts w:ascii="黑体" w:hAnsi="黑体"/>
          <w:sz w:val="28"/>
        </w:rPr>
      </w:pPr>
      <w:r>
        <w:rPr>
          <w:rFonts w:hint="eastAsia" w:ascii="黑体" w:hAnsi="黑体"/>
          <w:sz w:val="28"/>
        </w:rPr>
        <w:t>（二）编制依据</w:t>
      </w:r>
    </w:p>
    <w:p w14:paraId="20D610E8">
      <w:pPr>
        <w:spacing w:before="159" w:after="159"/>
        <w:ind w:firstLine="654" w:firstLineChars="200"/>
        <w:rPr>
          <w:rFonts w:ascii="仿宋_GB2312" w:hAnsi="仿宋_GB2312" w:eastAsia="仿宋_GB2312"/>
          <w:color w:val="000000"/>
          <w:spacing w:val="2"/>
          <w:sz w:val="32"/>
        </w:rPr>
      </w:pPr>
      <w:r>
        <w:rPr>
          <w:rFonts w:hint="eastAsia" w:ascii="仿宋_GB2312" w:hAnsi="仿宋_GB2312" w:eastAsia="仿宋_GB2312"/>
          <w:spacing w:val="2"/>
          <w:sz w:val="32"/>
        </w:rPr>
        <w:t>本标准严格按照GB/T 1.1—2020《标准化工作导则  第1部分：标准化文件</w:t>
      </w:r>
      <w:r>
        <w:rPr>
          <w:rFonts w:hint="eastAsia" w:ascii="仿宋_GB2312" w:hAnsi="仿宋_GB2312" w:eastAsia="仿宋_GB2312"/>
          <w:color w:val="000000"/>
          <w:spacing w:val="2"/>
          <w:sz w:val="32"/>
        </w:rPr>
        <w:t>的结构和起草规则》的规则起草，标准主要结合五指毛桃露酒生产技术相关特性以及起草单位的多年实践经验总结进行起草。</w:t>
      </w:r>
    </w:p>
    <w:p w14:paraId="7E4E020A">
      <w:pPr>
        <w:spacing w:before="159" w:after="159"/>
        <w:ind w:firstLine="646" w:firstLineChars="200"/>
        <w:rPr>
          <w:rFonts w:ascii="黑体" w:hAnsi="黑体"/>
          <w:sz w:val="28"/>
        </w:rPr>
      </w:pPr>
      <w:r>
        <w:rPr>
          <w:rFonts w:hint="eastAsia" w:ascii="楷体" w:hAnsi="楷体" w:eastAsia="楷体"/>
          <w:b/>
          <w:bCs/>
          <w:sz w:val="32"/>
          <w:szCs w:val="32"/>
        </w:rPr>
        <w:t>（三）与现行法律、法规的关系，与有关国家标准、行业标准的协调情况</w:t>
      </w:r>
    </w:p>
    <w:p w14:paraId="5AC4892B">
      <w:pPr>
        <w:widowControl/>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目前，广东省河源市已制定地方标准 DB4416/T 37-2025《五指毛桃加工技术规程》，覆盖五指毛桃初级加工、精深加工产品生产及贮存运输等环节；广东省检验检测协会发布团体标准 T/GSTI 0001-2024《五指毛桃质量标准》，侧重原料质量控制。国家层面，GB/T 27588-2011《露酒》作为通用标准，规定了露酒的分类和技术要求。此外，GB 2757、GB 2758 等食品安全标准对酒基和加工卫生规范提出要求。然而，国内外尚未制定针对五指毛桃露酒全产业链（如原料采收、专用加工工艺、特色感官指标、全程质量控制等）的专项国家或行业标准。现有地方和团体标准虽部分覆盖加工与原料要求，但缺乏对五指毛桃露酒独特工艺（如浸提）、地域性风味特征（如香气、色泽标准化）以及扶贫产业适配性（如小规模生产规范、运输贮存适应性）的系统规范。</w:t>
      </w:r>
    </w:p>
    <w:p w14:paraId="5260C406">
      <w:p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团体标准《五指毛桃露酒生产技术规程》的主要技术指标，制定团队实地调研五指毛桃种植环境、根茎采收标准、传统浸泡工艺（如基酒选择、6-12个月浸泡周期）及贮运条件，发现原料筛选不严、工艺差异大、安全检测缺失等关键问题。基于调研数据、专家论证并参考GB/T 27588-2011《露酒》，标准限定原料须选用无发霉、无变质、无虫蛀、无其他夹杂物、无异味，符合GB 2762、GB 2763的规定，经清洗、切制、烘干等工艺加工而成的，明确基酒类型（蒸馏酒、发酵酒或食用酒精）、感官特性（金黄透亮、药香醇香融合）及理化指标（酒精度4.0%～60.0% vol、总酸</w:t>
      </w:r>
      <w:r>
        <w:rPr>
          <w:rFonts w:ascii="仿宋_GB2312" w:hAnsi="宋体" w:eastAsia="仿宋_GB2312"/>
          <w:color w:val="000000"/>
          <w:sz w:val="30"/>
          <w:szCs w:val="30"/>
        </w:rPr>
        <w:t>≤</w:t>
      </w:r>
      <w:r>
        <w:rPr>
          <w:rFonts w:hint="eastAsia" w:ascii="仿宋_GB2312" w:hAnsi="宋体" w:eastAsia="仿宋_GB2312"/>
          <w:color w:val="000000"/>
          <w:sz w:val="30"/>
          <w:szCs w:val="30"/>
        </w:rPr>
        <w:t>6.0 g/L、总糖≤300 g/L、总酯≥0.35 g/L、干浸出物≥0.3 g/L），并针对扶贫产业简化检测流程（出厂检验仅需净含量、感官项目、酒精度、总糖和甲醇，限于以蒸馏酒为酒基的露酒）。该标准通过量化传统工艺参数、绑定地域特色成分，填补了五指毛桃露酒全产业链标准化空白，为提升产品品质、推动地理标志产业规模化及乡村振兴提供了技术支撑。</w:t>
      </w:r>
    </w:p>
    <w:p w14:paraId="6A1E868F">
      <w:pPr>
        <w:pStyle w:val="2"/>
        <w:spacing w:before="0" w:after="0" w:line="500" w:lineRule="exact"/>
        <w:rPr>
          <w:rFonts w:ascii="黑体" w:hAnsi="黑体" w:eastAsia="黑体"/>
          <w:b w:val="0"/>
          <w:sz w:val="32"/>
          <w:szCs w:val="32"/>
        </w:rPr>
      </w:pPr>
      <w:r>
        <w:rPr>
          <w:rFonts w:hint="eastAsia" w:ascii="黑体" w:hAnsi="黑体" w:eastAsia="黑体"/>
          <w:b w:val="0"/>
          <w:sz w:val="32"/>
          <w:szCs w:val="32"/>
        </w:rPr>
        <w:t>五、</w:t>
      </w:r>
      <w:r>
        <w:rPr>
          <w:rFonts w:hint="eastAsia" w:ascii="黑体" w:hAnsi="黑体" w:eastAsia="黑体" w:cs="仿宋_GB2312"/>
          <w:b w:val="0"/>
          <w:sz w:val="32"/>
          <w:szCs w:val="32"/>
        </w:rPr>
        <w:t>主要条款的说明</w:t>
      </w:r>
    </w:p>
    <w:p w14:paraId="5D1E3CC6">
      <w:pPr>
        <w:ind w:firstLine="614" w:firstLineChars="200"/>
        <w:rPr>
          <w:rFonts w:hint="eastAsia" w:ascii="仿宋_GB2312" w:hAnsi="仿宋_GB2312" w:eastAsia="仿宋_GB2312"/>
          <w:color w:val="000000"/>
          <w:spacing w:val="2"/>
          <w:sz w:val="30"/>
          <w:szCs w:val="30"/>
        </w:rPr>
      </w:pPr>
      <w:r>
        <w:rPr>
          <w:rFonts w:hint="eastAsia" w:ascii="仿宋_GB2312" w:hAnsi="仿宋_GB2312" w:eastAsia="仿宋_GB2312"/>
          <w:color w:val="000000"/>
          <w:spacing w:val="2"/>
          <w:sz w:val="30"/>
          <w:szCs w:val="30"/>
        </w:rPr>
        <w:t>团体标准《五指毛桃露酒生产技术规程》的主要章节内容包括术语和定义、设备与环境、工艺流程、生产操作、档案记录。本文件主要内容及依据来源说明如下：</w:t>
      </w:r>
    </w:p>
    <w:p w14:paraId="4C099499">
      <w:pPr>
        <w:numPr>
          <w:ilvl w:val="0"/>
          <w:numId w:val="0"/>
        </w:numPr>
        <w:rPr>
          <w:rFonts w:hint="eastAsia" w:ascii="仿宋_GB2312" w:hAnsi="仿宋_GB2312" w:eastAsia="仿宋_GB2312"/>
          <w:color w:val="000000"/>
          <w:spacing w:val="2"/>
          <w:sz w:val="30"/>
          <w:szCs w:val="30"/>
          <w:lang w:eastAsia="zh-CN"/>
        </w:rPr>
      </w:pPr>
      <w:r>
        <w:rPr>
          <w:rFonts w:hint="eastAsia" w:ascii="仿宋_GB2312" w:hAnsi="仿宋_GB2312" w:eastAsia="仿宋_GB2312" w:cs="Times New Roman"/>
          <w:color w:val="000000"/>
          <w:spacing w:val="2"/>
          <w:kern w:val="2"/>
          <w:sz w:val="30"/>
          <w:szCs w:val="30"/>
          <w:lang w:val="en-US" w:eastAsia="zh-CN" w:bidi="ar-SA"/>
        </w:rPr>
        <w:t>（一）</w:t>
      </w:r>
      <w:r>
        <w:rPr>
          <w:rFonts w:hint="eastAsia" w:ascii="仿宋_GB2312" w:hAnsi="仿宋_GB2312" w:eastAsia="仿宋_GB2312"/>
          <w:color w:val="000000"/>
          <w:spacing w:val="2"/>
          <w:sz w:val="30"/>
          <w:szCs w:val="30"/>
          <w:lang w:eastAsia="zh-CN"/>
        </w:rPr>
        <w:t>术语和定义</w:t>
      </w:r>
    </w:p>
    <w:p w14:paraId="688D8A1D">
      <w:pPr>
        <w:numPr>
          <w:numId w:val="0"/>
        </w:numPr>
        <w:ind w:firstLine="614" w:firstLineChars="200"/>
        <w:rPr>
          <w:rFonts w:hint="eastAsia" w:ascii="仿宋_GB2312" w:hAnsi="仿宋_GB2312" w:eastAsia="仿宋_GB2312"/>
          <w:b w:val="0"/>
          <w:bCs w:val="0"/>
          <w:color w:val="000000"/>
          <w:spacing w:val="2"/>
          <w:sz w:val="30"/>
          <w:szCs w:val="30"/>
          <w:lang w:eastAsia="zh-CN"/>
        </w:rPr>
      </w:pPr>
      <w:r>
        <w:rPr>
          <w:rFonts w:hint="eastAsia" w:ascii="仿宋_GB2312" w:hAnsi="仿宋_GB2312" w:eastAsia="仿宋_GB2312"/>
          <w:b w:val="0"/>
          <w:bCs w:val="0"/>
          <w:color w:val="000000"/>
          <w:spacing w:val="2"/>
          <w:sz w:val="30"/>
          <w:szCs w:val="30"/>
          <w:lang w:eastAsia="zh-CN"/>
        </w:rPr>
        <w:t>五指毛桃露酒：主要结合五指毛桃露酒生产的原料、工艺等进行确定，明确其定义为：以蒸馏酒、发酵酒或食用酒精为酒基，干燥后的五指毛桃（根）为基本原料，添加或不添加辅料、食品添加剂，经调配、混合、浸提、澄清、过滤、灌装等工艺制成的，含有一定酒精度的露酒。</w:t>
      </w:r>
    </w:p>
    <w:p w14:paraId="73CCFBB7">
      <w:pPr>
        <w:numPr>
          <w:ilvl w:val="0"/>
          <w:numId w:val="0"/>
        </w:numPr>
        <w:rPr>
          <w:rFonts w:hint="eastAsia" w:ascii="仿宋_GB2312" w:hAnsi="仿宋_GB2312" w:eastAsia="仿宋_GB2312"/>
          <w:b w:val="0"/>
          <w:bCs w:val="0"/>
          <w:color w:val="000000"/>
          <w:spacing w:val="2"/>
          <w:sz w:val="30"/>
          <w:szCs w:val="30"/>
          <w:lang w:eastAsia="zh-CN"/>
        </w:rPr>
      </w:pPr>
      <w:r>
        <w:rPr>
          <w:rFonts w:hint="eastAsia" w:ascii="仿宋_GB2312" w:hAnsi="仿宋_GB2312" w:eastAsia="仿宋_GB2312" w:cs="Times New Roman"/>
          <w:b w:val="0"/>
          <w:bCs w:val="0"/>
          <w:color w:val="000000"/>
          <w:spacing w:val="2"/>
          <w:kern w:val="2"/>
          <w:sz w:val="30"/>
          <w:szCs w:val="30"/>
          <w:lang w:val="en-US" w:eastAsia="zh-CN" w:bidi="ar-SA"/>
        </w:rPr>
        <w:t>（二）</w:t>
      </w:r>
      <w:r>
        <w:rPr>
          <w:rFonts w:hint="eastAsia" w:ascii="仿宋_GB2312" w:hAnsi="仿宋_GB2312" w:eastAsia="仿宋_GB2312"/>
          <w:b w:val="0"/>
          <w:bCs w:val="0"/>
          <w:color w:val="000000"/>
          <w:spacing w:val="2"/>
          <w:sz w:val="30"/>
          <w:szCs w:val="30"/>
          <w:lang w:eastAsia="zh-CN"/>
        </w:rPr>
        <w:t>工艺流程、工艺技术要求</w:t>
      </w:r>
    </w:p>
    <w:p w14:paraId="0FD31294">
      <w:pPr>
        <w:pStyle w:val="3"/>
      </w:pPr>
      <w:r>
        <w:rPr>
          <w:rFonts w:hint="eastAsia"/>
        </w:rPr>
        <w:t>1主要试验（或验证）的分析</w:t>
      </w:r>
    </w:p>
    <w:p w14:paraId="65F61079">
      <w:pPr>
        <w:numPr>
          <w:ilvl w:val="255"/>
          <w:numId w:val="0"/>
        </w:numPr>
        <w:spacing w:line="500" w:lineRule="exact"/>
        <w:ind w:firstLine="606" w:firstLineChars="200"/>
        <w:jc w:val="left"/>
        <w:rPr>
          <w:rFonts w:hint="eastAsia" w:ascii="仿宋_GB2312" w:hAnsi="宋体" w:eastAsia="仿宋_GB2312"/>
          <w:color w:val="000000"/>
          <w:sz w:val="30"/>
          <w:szCs w:val="30"/>
          <w:lang w:eastAsia="zh-CN"/>
        </w:rPr>
      </w:pPr>
      <w:r>
        <w:rPr>
          <w:rFonts w:hint="eastAsia" w:ascii="仿宋_GB2312" w:hAnsi="宋体" w:eastAsia="仿宋_GB2312"/>
          <w:color w:val="000000"/>
          <w:sz w:val="30"/>
          <w:szCs w:val="30"/>
        </w:rPr>
        <w:t>《五指毛桃露酒生产技术规程》团体标准通过实地调研广西主产区多家代表性企业生产工艺及市场现状，结合实验室理化检测与感官评价验证，发现当前因原料质量参差不齐、工艺标准缺失导致产品合格率较低，风味稳定性差，且部分企业因未规范甲醇、氰化物等安全指标检测，存在质量风险。通过统一五指毛桃原料筛选标准（无霉变、农残及污染物符合GB 2762和GB 2763）、优化浸提与调配工艺，并引入总酯（≥0.35 g/L）、干浸出物（≥0.3 g/L）等专属理化指标后，试验数据显示产品合格率大幅提升，风味一致性显著增强，原料损耗降低。</w:t>
      </w:r>
      <w:r>
        <w:rPr>
          <w:rFonts w:hint="eastAsia" w:ascii="仿宋_GB2312" w:hAnsi="宋体" w:eastAsia="仿宋_GB2312"/>
          <w:color w:val="000000"/>
          <w:sz w:val="30"/>
          <w:szCs w:val="30"/>
          <w:lang w:eastAsia="zh-CN"/>
        </w:rPr>
        <w:t>五指毛桃露酒生产规程相关指标的实验验证分析情况如下</w:t>
      </w:r>
      <w:bookmarkStart w:id="16" w:name="_GoBack"/>
      <w:bookmarkEnd w:id="16"/>
      <w:r>
        <w:rPr>
          <w:rFonts w:hint="eastAsia" w:ascii="仿宋_GB2312" w:hAnsi="宋体" w:eastAsia="仿宋_GB2312"/>
          <w:color w:val="000000"/>
          <w:sz w:val="30"/>
          <w:szCs w:val="30"/>
          <w:lang w:eastAsia="zh-CN"/>
        </w:rPr>
        <w:t>：</w:t>
      </w:r>
    </w:p>
    <w:p w14:paraId="65F9B1BE">
      <w:pPr>
        <w:pStyle w:val="3"/>
      </w:pPr>
      <w:bookmarkStart w:id="0" w:name="_Toc2615"/>
      <w:bookmarkStart w:id="1" w:name="_Toc16355"/>
      <w:r>
        <w:rPr>
          <w:rFonts w:hint="eastAsia"/>
        </w:rPr>
        <w:t>1.1 材料与试剂</w:t>
      </w:r>
      <w:bookmarkEnd w:id="0"/>
      <w:bookmarkEnd w:id="1"/>
    </w:p>
    <w:p w14:paraId="11F88F3E">
      <w:pPr>
        <w:numPr>
          <w:ilvl w:val="255"/>
          <w:numId w:val="0"/>
        </w:numPr>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五指毛桃：广西钦州市灵山县远丰中药材加工厂，经粟华生教授鉴定确认为五指毛桃的根；54.1%vol沃柑蒸馏酒：广西农业科学院农产品加工研究所实验室制备。</w:t>
      </w:r>
    </w:p>
    <w:p w14:paraId="3C6E4156">
      <w:pPr>
        <w:jc w:val="center"/>
        <w:rPr>
          <w:sz w:val="24"/>
        </w:rPr>
      </w:pPr>
      <w:r>
        <w:rPr>
          <w:rFonts w:hint="eastAsia"/>
          <w:sz w:val="24"/>
        </w:rPr>
        <w:t>表2 实验试剂</w:t>
      </w:r>
    </w:p>
    <w:p w14:paraId="045D9036">
      <w:pPr>
        <w:jc w:val="center"/>
        <w:rPr>
          <w:sz w:val="24"/>
        </w:rPr>
      </w:pPr>
      <w:r>
        <w:rPr>
          <w:sz w:val="24"/>
        </w:rPr>
        <w:t xml:space="preserve">Table </w:t>
      </w:r>
      <w:r>
        <w:rPr>
          <w:rFonts w:hint="eastAsia"/>
          <w:sz w:val="24"/>
        </w:rPr>
        <w:t>2</w:t>
      </w:r>
      <w:r>
        <w:rPr>
          <w:sz w:val="24"/>
        </w:rPr>
        <w:t xml:space="preserve"> Experimental reagents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6"/>
        <w:gridCol w:w="2887"/>
        <w:gridCol w:w="2805"/>
      </w:tblGrid>
      <w:tr w14:paraId="4C04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single" w:color="000000" w:sz="12" w:space="0"/>
              <w:left w:val="nil"/>
              <w:bottom w:val="single" w:color="000000" w:sz="4" w:space="0"/>
              <w:right w:val="nil"/>
              <w:tl2br w:val="nil"/>
            </w:tcBorders>
            <w:shd w:val="clear" w:color="auto" w:fill="FFFFFF"/>
            <w:vAlign w:val="center"/>
          </w:tcPr>
          <w:p w14:paraId="32516AE9">
            <w:pPr>
              <w:jc w:val="center"/>
              <w:rPr>
                <w:color w:val="000000"/>
              </w:rPr>
            </w:pPr>
            <w:r>
              <w:rPr>
                <w:rFonts w:hint="eastAsia"/>
                <w:color w:val="000000"/>
              </w:rPr>
              <w:t>试剂名称</w:t>
            </w:r>
          </w:p>
        </w:tc>
        <w:tc>
          <w:tcPr>
            <w:tcW w:w="3058" w:type="dxa"/>
            <w:tcBorders>
              <w:top w:val="single" w:color="000000" w:sz="12" w:space="0"/>
              <w:left w:val="nil"/>
              <w:bottom w:val="single" w:color="000000" w:sz="4" w:space="0"/>
              <w:right w:val="nil"/>
            </w:tcBorders>
            <w:shd w:val="clear" w:color="auto" w:fill="FFFFFF"/>
            <w:vAlign w:val="center"/>
          </w:tcPr>
          <w:p w14:paraId="487308A9">
            <w:pPr>
              <w:jc w:val="center"/>
              <w:rPr>
                <w:color w:val="000000"/>
              </w:rPr>
            </w:pPr>
            <w:r>
              <w:rPr>
                <w:rFonts w:hint="eastAsia"/>
                <w:color w:val="000000"/>
              </w:rPr>
              <w:t>批号</w:t>
            </w:r>
          </w:p>
        </w:tc>
        <w:tc>
          <w:tcPr>
            <w:tcW w:w="3058" w:type="dxa"/>
            <w:tcBorders>
              <w:top w:val="single" w:color="000000" w:sz="12" w:space="0"/>
              <w:left w:val="nil"/>
              <w:bottom w:val="single" w:color="000000" w:sz="4" w:space="0"/>
              <w:right w:val="nil"/>
            </w:tcBorders>
            <w:shd w:val="clear" w:color="auto" w:fill="FFFFFF"/>
            <w:vAlign w:val="center"/>
          </w:tcPr>
          <w:p w14:paraId="18476D84">
            <w:pPr>
              <w:jc w:val="center"/>
              <w:rPr>
                <w:color w:val="000000"/>
              </w:rPr>
            </w:pPr>
            <w:r>
              <w:rPr>
                <w:rFonts w:hint="eastAsia"/>
                <w:color w:val="000000"/>
              </w:rPr>
              <w:t>生产厂家</w:t>
            </w:r>
          </w:p>
        </w:tc>
      </w:tr>
      <w:tr w14:paraId="5E467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single" w:color="000000" w:sz="4" w:space="0"/>
              <w:left w:val="nil"/>
              <w:bottom w:val="nil"/>
              <w:right w:val="nil"/>
            </w:tcBorders>
            <w:shd w:val="clear" w:color="auto" w:fill="FFFFFF"/>
            <w:vAlign w:val="center"/>
          </w:tcPr>
          <w:p w14:paraId="55709CF6">
            <w:pPr>
              <w:jc w:val="center"/>
              <w:rPr>
                <w:color w:val="000000"/>
              </w:rPr>
            </w:pPr>
            <w:r>
              <w:rPr>
                <w:rFonts w:hint="eastAsia"/>
                <w:color w:val="000000"/>
              </w:rPr>
              <w:t>硫酸亚铁</w:t>
            </w:r>
          </w:p>
        </w:tc>
        <w:tc>
          <w:tcPr>
            <w:tcW w:w="3058" w:type="dxa"/>
            <w:tcBorders>
              <w:top w:val="single" w:color="000000" w:sz="4" w:space="0"/>
              <w:left w:val="nil"/>
              <w:bottom w:val="nil"/>
              <w:right w:val="nil"/>
            </w:tcBorders>
            <w:shd w:val="clear" w:color="auto" w:fill="FFFFFF"/>
            <w:vAlign w:val="center"/>
          </w:tcPr>
          <w:p w14:paraId="3AEAF1DC">
            <w:pPr>
              <w:jc w:val="center"/>
              <w:rPr>
                <w:color w:val="000000"/>
              </w:rPr>
            </w:pPr>
            <w:r>
              <w:rPr>
                <w:rFonts w:hint="eastAsia"/>
                <w:color w:val="000000"/>
              </w:rPr>
              <w:t>D2411117</w:t>
            </w:r>
          </w:p>
        </w:tc>
        <w:tc>
          <w:tcPr>
            <w:tcW w:w="3058" w:type="dxa"/>
            <w:tcBorders>
              <w:top w:val="single" w:color="000000" w:sz="4" w:space="0"/>
              <w:left w:val="nil"/>
              <w:bottom w:val="nil"/>
              <w:right w:val="nil"/>
            </w:tcBorders>
            <w:shd w:val="clear" w:color="auto" w:fill="FFFFFF"/>
            <w:vAlign w:val="center"/>
          </w:tcPr>
          <w:p w14:paraId="621694D3">
            <w:pPr>
              <w:jc w:val="center"/>
              <w:rPr>
                <w:color w:val="000000"/>
              </w:rPr>
            </w:pPr>
            <w:r>
              <w:rPr>
                <w:color w:val="000000"/>
              </w:rPr>
              <w:t>上海阿拉丁生化股份有限公司</w:t>
            </w:r>
          </w:p>
        </w:tc>
      </w:tr>
      <w:tr w14:paraId="24A88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4933F19A">
            <w:pPr>
              <w:jc w:val="center"/>
              <w:rPr>
                <w:color w:val="000000"/>
              </w:rPr>
            </w:pPr>
            <w:r>
              <w:rPr>
                <w:rFonts w:hint="eastAsia"/>
                <w:color w:val="000000"/>
              </w:rPr>
              <w:t>过氧化氢</w:t>
            </w:r>
          </w:p>
        </w:tc>
        <w:tc>
          <w:tcPr>
            <w:tcW w:w="3058" w:type="dxa"/>
            <w:tcBorders>
              <w:top w:val="nil"/>
              <w:left w:val="nil"/>
              <w:bottom w:val="nil"/>
              <w:right w:val="nil"/>
            </w:tcBorders>
            <w:shd w:val="clear" w:color="auto" w:fill="FFFFFF"/>
            <w:vAlign w:val="center"/>
          </w:tcPr>
          <w:p w14:paraId="219E14F9">
            <w:pPr>
              <w:jc w:val="center"/>
              <w:rPr>
                <w:color w:val="000000"/>
              </w:rPr>
            </w:pPr>
            <w:r>
              <w:rPr>
                <w:rFonts w:hint="eastAsia"/>
                <w:color w:val="000000"/>
              </w:rPr>
              <w:t>20240702</w:t>
            </w:r>
          </w:p>
        </w:tc>
        <w:tc>
          <w:tcPr>
            <w:tcW w:w="3058" w:type="dxa"/>
            <w:tcBorders>
              <w:top w:val="nil"/>
              <w:left w:val="nil"/>
              <w:bottom w:val="nil"/>
              <w:right w:val="nil"/>
            </w:tcBorders>
            <w:shd w:val="clear" w:color="auto" w:fill="FFFFFF"/>
            <w:vAlign w:val="center"/>
          </w:tcPr>
          <w:p w14:paraId="1E77152D">
            <w:pPr>
              <w:jc w:val="center"/>
              <w:rPr>
                <w:color w:val="000000"/>
              </w:rPr>
            </w:pPr>
            <w:r>
              <w:rPr>
                <w:color w:val="000000"/>
              </w:rPr>
              <w:t>成都金山化学试剂有限公司</w:t>
            </w:r>
          </w:p>
        </w:tc>
      </w:tr>
      <w:tr w14:paraId="2D1D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34176FEA">
            <w:pPr>
              <w:jc w:val="center"/>
              <w:rPr>
                <w:color w:val="000000"/>
              </w:rPr>
            </w:pPr>
            <w:r>
              <w:rPr>
                <w:rFonts w:hint="eastAsia"/>
                <w:color w:val="000000"/>
              </w:rPr>
              <w:t>水杨酸</w:t>
            </w:r>
          </w:p>
        </w:tc>
        <w:tc>
          <w:tcPr>
            <w:tcW w:w="3058" w:type="dxa"/>
            <w:tcBorders>
              <w:top w:val="nil"/>
              <w:left w:val="nil"/>
              <w:bottom w:val="nil"/>
              <w:right w:val="nil"/>
            </w:tcBorders>
            <w:shd w:val="clear" w:color="auto" w:fill="FFFFFF"/>
            <w:vAlign w:val="center"/>
          </w:tcPr>
          <w:p w14:paraId="74B44737">
            <w:pPr>
              <w:jc w:val="center"/>
              <w:rPr>
                <w:color w:val="000000"/>
              </w:rPr>
            </w:pPr>
            <w:r>
              <w:rPr>
                <w:rFonts w:hint="eastAsia"/>
                <w:color w:val="000000"/>
              </w:rPr>
              <w:t>C16156948</w:t>
            </w:r>
          </w:p>
        </w:tc>
        <w:tc>
          <w:tcPr>
            <w:tcW w:w="3058" w:type="dxa"/>
            <w:tcBorders>
              <w:top w:val="nil"/>
              <w:left w:val="nil"/>
              <w:bottom w:val="nil"/>
              <w:right w:val="nil"/>
            </w:tcBorders>
            <w:shd w:val="clear" w:color="auto" w:fill="FFFFFF"/>
            <w:vAlign w:val="center"/>
          </w:tcPr>
          <w:p w14:paraId="23237B98">
            <w:pPr>
              <w:jc w:val="center"/>
              <w:rPr>
                <w:color w:val="000000"/>
              </w:rPr>
            </w:pPr>
            <w:r>
              <w:rPr>
                <w:color w:val="000000"/>
              </w:rPr>
              <w:t>山东科源生化有限公司</w:t>
            </w:r>
          </w:p>
        </w:tc>
      </w:tr>
      <w:tr w14:paraId="0724A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31D5DC8F">
            <w:pPr>
              <w:jc w:val="center"/>
              <w:rPr>
                <w:color w:val="000000"/>
              </w:rPr>
            </w:pPr>
            <w:r>
              <w:rPr>
                <w:rFonts w:hint="eastAsia"/>
                <w:color w:val="000000"/>
              </w:rPr>
              <w:t>无水乙醇</w:t>
            </w:r>
          </w:p>
        </w:tc>
        <w:tc>
          <w:tcPr>
            <w:tcW w:w="3058" w:type="dxa"/>
            <w:tcBorders>
              <w:top w:val="nil"/>
              <w:left w:val="nil"/>
              <w:bottom w:val="nil"/>
              <w:right w:val="nil"/>
            </w:tcBorders>
            <w:shd w:val="clear" w:color="auto" w:fill="FFFFFF"/>
            <w:vAlign w:val="center"/>
          </w:tcPr>
          <w:p w14:paraId="087E41F2">
            <w:pPr>
              <w:jc w:val="center"/>
              <w:rPr>
                <w:color w:val="000000"/>
              </w:rPr>
            </w:pPr>
            <w:r>
              <w:rPr>
                <w:rFonts w:hint="eastAsia"/>
                <w:color w:val="000000"/>
              </w:rPr>
              <w:t>2024073101</w:t>
            </w:r>
          </w:p>
        </w:tc>
        <w:tc>
          <w:tcPr>
            <w:tcW w:w="3058" w:type="dxa"/>
            <w:tcBorders>
              <w:top w:val="nil"/>
              <w:left w:val="nil"/>
              <w:bottom w:val="nil"/>
              <w:right w:val="nil"/>
            </w:tcBorders>
            <w:shd w:val="clear" w:color="auto" w:fill="FFFFFF"/>
            <w:vAlign w:val="center"/>
          </w:tcPr>
          <w:p w14:paraId="5A711A97">
            <w:pPr>
              <w:jc w:val="center"/>
              <w:rPr>
                <w:color w:val="000000"/>
              </w:rPr>
            </w:pPr>
            <w:r>
              <w:rPr>
                <w:color w:val="000000"/>
              </w:rPr>
              <w:t>成都市科隆化学品</w:t>
            </w:r>
            <w:r>
              <w:rPr>
                <w:rFonts w:hint="eastAsia"/>
                <w:color w:val="000000"/>
              </w:rPr>
              <w:t>有限公司</w:t>
            </w:r>
          </w:p>
        </w:tc>
      </w:tr>
      <w:tr w14:paraId="56D7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17916825">
            <w:pPr>
              <w:jc w:val="center"/>
              <w:rPr>
                <w:color w:val="000000"/>
              </w:rPr>
            </w:pPr>
            <w:r>
              <w:rPr>
                <w:rFonts w:hint="eastAsia"/>
                <w:color w:val="000000"/>
              </w:rPr>
              <w:t>没食子酸分析对照品</w:t>
            </w:r>
          </w:p>
        </w:tc>
        <w:tc>
          <w:tcPr>
            <w:tcW w:w="3058" w:type="dxa"/>
            <w:tcBorders>
              <w:top w:val="nil"/>
              <w:left w:val="nil"/>
              <w:bottom w:val="nil"/>
              <w:right w:val="nil"/>
            </w:tcBorders>
            <w:shd w:val="clear" w:color="auto" w:fill="FFFFFF"/>
            <w:vAlign w:val="center"/>
          </w:tcPr>
          <w:p w14:paraId="17C9FBF2">
            <w:pPr>
              <w:jc w:val="center"/>
              <w:rPr>
                <w:color w:val="000000"/>
              </w:rPr>
            </w:pPr>
            <w:r>
              <w:rPr>
                <w:rFonts w:hint="eastAsia"/>
                <w:color w:val="000000"/>
              </w:rPr>
              <w:t>C15639362</w:t>
            </w:r>
          </w:p>
        </w:tc>
        <w:tc>
          <w:tcPr>
            <w:tcW w:w="3058" w:type="dxa"/>
            <w:tcBorders>
              <w:top w:val="nil"/>
              <w:left w:val="nil"/>
              <w:bottom w:val="nil"/>
              <w:right w:val="nil"/>
            </w:tcBorders>
            <w:shd w:val="clear" w:color="auto" w:fill="FFFFFF"/>
            <w:vAlign w:val="center"/>
          </w:tcPr>
          <w:p w14:paraId="20B468BD">
            <w:pPr>
              <w:jc w:val="center"/>
              <w:rPr>
                <w:color w:val="000000"/>
              </w:rPr>
            </w:pPr>
            <w:r>
              <w:rPr>
                <w:rFonts w:hint="eastAsia"/>
                <w:color w:val="000000"/>
              </w:rPr>
              <w:t>上海源叶生物科技有限公司</w:t>
            </w:r>
          </w:p>
        </w:tc>
      </w:tr>
      <w:tr w14:paraId="647A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08F1A7C2">
            <w:pPr>
              <w:jc w:val="center"/>
              <w:rPr>
                <w:color w:val="000000"/>
              </w:rPr>
            </w:pPr>
            <w:r>
              <w:rPr>
                <w:rFonts w:hint="eastAsia"/>
                <w:color w:val="000000"/>
              </w:rPr>
              <w:t>芦丁</w:t>
            </w:r>
          </w:p>
        </w:tc>
        <w:tc>
          <w:tcPr>
            <w:tcW w:w="3058" w:type="dxa"/>
            <w:tcBorders>
              <w:top w:val="nil"/>
              <w:left w:val="nil"/>
              <w:bottom w:val="nil"/>
              <w:right w:val="nil"/>
            </w:tcBorders>
            <w:shd w:val="clear" w:color="auto" w:fill="FFFFFF"/>
            <w:vAlign w:val="center"/>
          </w:tcPr>
          <w:p w14:paraId="074204F8">
            <w:pPr>
              <w:jc w:val="center"/>
              <w:rPr>
                <w:color w:val="000000"/>
              </w:rPr>
            </w:pPr>
            <w:r>
              <w:rPr>
                <w:rFonts w:hint="eastAsia"/>
                <w:color w:val="000000"/>
              </w:rPr>
              <w:t>C12913929</w:t>
            </w:r>
          </w:p>
        </w:tc>
        <w:tc>
          <w:tcPr>
            <w:tcW w:w="3058" w:type="dxa"/>
            <w:tcBorders>
              <w:top w:val="nil"/>
              <w:left w:val="nil"/>
              <w:bottom w:val="nil"/>
              <w:right w:val="nil"/>
            </w:tcBorders>
            <w:shd w:val="clear" w:color="auto" w:fill="FFFFFF"/>
            <w:vAlign w:val="center"/>
          </w:tcPr>
          <w:p w14:paraId="0E830502">
            <w:pPr>
              <w:jc w:val="center"/>
              <w:rPr>
                <w:color w:val="000000"/>
              </w:rPr>
            </w:pPr>
            <w:r>
              <w:rPr>
                <w:rFonts w:hint="eastAsia"/>
                <w:color w:val="000000"/>
              </w:rPr>
              <w:t>上海麦克林生化科技股份有限公司</w:t>
            </w:r>
          </w:p>
        </w:tc>
      </w:tr>
      <w:tr w14:paraId="5CA8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64FDD650">
            <w:pPr>
              <w:jc w:val="center"/>
              <w:rPr>
                <w:color w:val="000000"/>
              </w:rPr>
            </w:pPr>
            <w:r>
              <w:rPr>
                <w:rFonts w:hint="eastAsia"/>
                <w:color w:val="000000"/>
              </w:rPr>
              <w:t>福林酚</w:t>
            </w:r>
          </w:p>
        </w:tc>
        <w:tc>
          <w:tcPr>
            <w:tcW w:w="3058" w:type="dxa"/>
            <w:tcBorders>
              <w:top w:val="nil"/>
              <w:left w:val="nil"/>
              <w:bottom w:val="nil"/>
              <w:right w:val="nil"/>
            </w:tcBorders>
            <w:shd w:val="clear" w:color="auto" w:fill="FFFFFF"/>
            <w:vAlign w:val="center"/>
          </w:tcPr>
          <w:p w14:paraId="6848F1B7">
            <w:pPr>
              <w:jc w:val="center"/>
              <w:rPr>
                <w:color w:val="000000"/>
              </w:rPr>
            </w:pPr>
            <w:r>
              <w:rPr>
                <w:rFonts w:hint="eastAsia"/>
                <w:color w:val="000000"/>
              </w:rPr>
              <w:t>JS27799A</w:t>
            </w:r>
          </w:p>
        </w:tc>
        <w:tc>
          <w:tcPr>
            <w:tcW w:w="3058" w:type="dxa"/>
            <w:tcBorders>
              <w:top w:val="nil"/>
              <w:left w:val="nil"/>
              <w:bottom w:val="nil"/>
              <w:right w:val="nil"/>
            </w:tcBorders>
            <w:shd w:val="clear" w:color="auto" w:fill="FFFFFF"/>
            <w:vAlign w:val="center"/>
          </w:tcPr>
          <w:p w14:paraId="7BB85BA3">
            <w:pPr>
              <w:jc w:val="center"/>
              <w:rPr>
                <w:color w:val="000000"/>
              </w:rPr>
            </w:pPr>
            <w:r>
              <w:rPr>
                <w:rFonts w:hint="eastAsia"/>
                <w:color w:val="000000"/>
              </w:rPr>
              <w:t>上海源叶生物技术有限公司</w:t>
            </w:r>
          </w:p>
        </w:tc>
      </w:tr>
      <w:tr w14:paraId="515B7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6E93C4E5">
            <w:pPr>
              <w:jc w:val="center"/>
              <w:rPr>
                <w:color w:val="000000"/>
              </w:rPr>
            </w:pPr>
            <w:r>
              <w:rPr>
                <w:rFonts w:hint="eastAsia"/>
                <w:color w:val="000000"/>
              </w:rPr>
              <w:t>碳酸钠</w:t>
            </w:r>
          </w:p>
        </w:tc>
        <w:tc>
          <w:tcPr>
            <w:tcW w:w="3058" w:type="dxa"/>
            <w:tcBorders>
              <w:top w:val="nil"/>
              <w:left w:val="nil"/>
              <w:bottom w:val="nil"/>
              <w:right w:val="nil"/>
            </w:tcBorders>
            <w:shd w:val="clear" w:color="auto" w:fill="FFFFFF"/>
            <w:vAlign w:val="center"/>
          </w:tcPr>
          <w:p w14:paraId="6F22F5DC">
            <w:pPr>
              <w:jc w:val="center"/>
              <w:rPr>
                <w:color w:val="000000"/>
              </w:rPr>
            </w:pPr>
            <w:r>
              <w:rPr>
                <w:rFonts w:hint="eastAsia"/>
                <w:color w:val="000000"/>
              </w:rPr>
              <w:t>20221004</w:t>
            </w:r>
          </w:p>
        </w:tc>
        <w:tc>
          <w:tcPr>
            <w:tcW w:w="3058" w:type="dxa"/>
            <w:tcBorders>
              <w:top w:val="nil"/>
              <w:left w:val="nil"/>
              <w:bottom w:val="nil"/>
              <w:right w:val="nil"/>
            </w:tcBorders>
            <w:shd w:val="clear" w:color="auto" w:fill="FFFFFF"/>
            <w:vAlign w:val="center"/>
          </w:tcPr>
          <w:p w14:paraId="4DCFB28F">
            <w:pPr>
              <w:jc w:val="center"/>
              <w:rPr>
                <w:color w:val="000000"/>
              </w:rPr>
            </w:pPr>
            <w:r>
              <w:rPr>
                <w:rFonts w:hint="eastAsia"/>
                <w:color w:val="000000"/>
              </w:rPr>
              <w:t>廊坊乾耀科技有限公司</w:t>
            </w:r>
          </w:p>
        </w:tc>
      </w:tr>
      <w:tr w14:paraId="1A009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23D16009">
            <w:pPr>
              <w:jc w:val="center"/>
              <w:rPr>
                <w:color w:val="000000"/>
              </w:rPr>
            </w:pPr>
            <w:r>
              <w:rPr>
                <w:color w:val="000000"/>
              </w:rPr>
              <w:t>氢氧化钠</w:t>
            </w:r>
          </w:p>
        </w:tc>
        <w:tc>
          <w:tcPr>
            <w:tcW w:w="3058" w:type="dxa"/>
            <w:tcBorders>
              <w:top w:val="nil"/>
              <w:left w:val="nil"/>
              <w:bottom w:val="nil"/>
              <w:right w:val="nil"/>
            </w:tcBorders>
            <w:shd w:val="clear" w:color="auto" w:fill="FFFFFF"/>
            <w:vAlign w:val="center"/>
          </w:tcPr>
          <w:p w14:paraId="36D1E863">
            <w:pPr>
              <w:jc w:val="center"/>
              <w:rPr>
                <w:color w:val="000000"/>
              </w:rPr>
            </w:pPr>
            <w:r>
              <w:rPr>
                <w:rFonts w:hint="eastAsia"/>
                <w:color w:val="000000"/>
              </w:rPr>
              <w:t>20240120</w:t>
            </w:r>
          </w:p>
        </w:tc>
        <w:tc>
          <w:tcPr>
            <w:tcW w:w="3058" w:type="dxa"/>
            <w:tcBorders>
              <w:top w:val="nil"/>
              <w:left w:val="nil"/>
              <w:bottom w:val="nil"/>
              <w:right w:val="nil"/>
            </w:tcBorders>
            <w:shd w:val="clear" w:color="auto" w:fill="FFFFFF"/>
            <w:vAlign w:val="center"/>
          </w:tcPr>
          <w:p w14:paraId="44FB94DE">
            <w:pPr>
              <w:jc w:val="center"/>
              <w:rPr>
                <w:color w:val="000000"/>
              </w:rPr>
            </w:pPr>
            <w:r>
              <w:rPr>
                <w:color w:val="000000"/>
              </w:rPr>
              <w:t>天津奥普生化工有限公司</w:t>
            </w:r>
          </w:p>
        </w:tc>
      </w:tr>
      <w:tr w14:paraId="1AA9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79961EBD">
            <w:pPr>
              <w:jc w:val="center"/>
              <w:rPr>
                <w:color w:val="000000"/>
              </w:rPr>
            </w:pPr>
            <w:r>
              <w:rPr>
                <w:color w:val="000000"/>
              </w:rPr>
              <w:t>亚硝酸钠</w:t>
            </w:r>
          </w:p>
        </w:tc>
        <w:tc>
          <w:tcPr>
            <w:tcW w:w="3058" w:type="dxa"/>
            <w:tcBorders>
              <w:top w:val="nil"/>
              <w:left w:val="nil"/>
              <w:bottom w:val="nil"/>
              <w:right w:val="nil"/>
            </w:tcBorders>
            <w:shd w:val="clear" w:color="auto" w:fill="FFFFFF"/>
            <w:vAlign w:val="center"/>
          </w:tcPr>
          <w:p w14:paraId="623F9488">
            <w:pPr>
              <w:jc w:val="center"/>
              <w:rPr>
                <w:color w:val="000000"/>
              </w:rPr>
            </w:pPr>
            <w:r>
              <w:rPr>
                <w:rFonts w:hint="eastAsia"/>
                <w:color w:val="000000"/>
              </w:rPr>
              <w:t>C16353168</w:t>
            </w:r>
          </w:p>
        </w:tc>
        <w:tc>
          <w:tcPr>
            <w:tcW w:w="3058" w:type="dxa"/>
            <w:tcBorders>
              <w:top w:val="nil"/>
              <w:left w:val="nil"/>
              <w:bottom w:val="nil"/>
              <w:right w:val="nil"/>
            </w:tcBorders>
            <w:shd w:val="clear" w:color="auto" w:fill="FFFFFF"/>
            <w:vAlign w:val="center"/>
          </w:tcPr>
          <w:p w14:paraId="163A70A0">
            <w:pPr>
              <w:jc w:val="center"/>
              <w:rPr>
                <w:color w:val="000000"/>
              </w:rPr>
            </w:pPr>
            <w:r>
              <w:rPr>
                <w:color w:val="000000"/>
              </w:rPr>
              <w:t>山东科源生化有限公司</w:t>
            </w:r>
          </w:p>
        </w:tc>
      </w:tr>
      <w:tr w14:paraId="2953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1DAEE477">
            <w:pPr>
              <w:jc w:val="center"/>
              <w:rPr>
                <w:color w:val="000000"/>
              </w:rPr>
            </w:pPr>
            <w:r>
              <w:rPr>
                <w:color w:val="000000"/>
              </w:rPr>
              <w:t>过硫酸钾</w:t>
            </w:r>
          </w:p>
        </w:tc>
        <w:tc>
          <w:tcPr>
            <w:tcW w:w="3058" w:type="dxa"/>
            <w:tcBorders>
              <w:top w:val="nil"/>
              <w:left w:val="nil"/>
              <w:bottom w:val="nil"/>
              <w:right w:val="nil"/>
            </w:tcBorders>
            <w:shd w:val="clear" w:color="auto" w:fill="FFFFFF"/>
            <w:vAlign w:val="center"/>
          </w:tcPr>
          <w:p w14:paraId="65D469A4">
            <w:pPr>
              <w:jc w:val="center"/>
              <w:rPr>
                <w:color w:val="000000"/>
              </w:rPr>
            </w:pPr>
            <w:r>
              <w:rPr>
                <w:rFonts w:hint="eastAsia"/>
                <w:color w:val="000000"/>
              </w:rPr>
              <w:t>C16635350</w:t>
            </w:r>
          </w:p>
        </w:tc>
        <w:tc>
          <w:tcPr>
            <w:tcW w:w="3058" w:type="dxa"/>
            <w:tcBorders>
              <w:top w:val="nil"/>
              <w:left w:val="nil"/>
              <w:bottom w:val="nil"/>
              <w:right w:val="nil"/>
            </w:tcBorders>
            <w:shd w:val="clear" w:color="auto" w:fill="FFFFFF"/>
            <w:vAlign w:val="center"/>
          </w:tcPr>
          <w:p w14:paraId="43581E22">
            <w:pPr>
              <w:jc w:val="center"/>
              <w:rPr>
                <w:color w:val="000000"/>
              </w:rPr>
            </w:pPr>
            <w:r>
              <w:rPr>
                <w:color w:val="000000"/>
              </w:rPr>
              <w:t>山东科源生化有限公司</w:t>
            </w:r>
          </w:p>
        </w:tc>
      </w:tr>
      <w:tr w14:paraId="27D7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17D2550D">
            <w:pPr>
              <w:jc w:val="center"/>
              <w:rPr>
                <w:color w:val="000000"/>
              </w:rPr>
            </w:pPr>
            <w:r>
              <w:rPr>
                <w:color w:val="000000"/>
              </w:rPr>
              <w:t>硝酸铝</w:t>
            </w:r>
          </w:p>
        </w:tc>
        <w:tc>
          <w:tcPr>
            <w:tcW w:w="3058" w:type="dxa"/>
            <w:tcBorders>
              <w:top w:val="nil"/>
              <w:left w:val="nil"/>
              <w:bottom w:val="nil"/>
              <w:right w:val="nil"/>
            </w:tcBorders>
            <w:shd w:val="clear" w:color="auto" w:fill="FFFFFF"/>
            <w:vAlign w:val="center"/>
          </w:tcPr>
          <w:p w14:paraId="4EB87733">
            <w:pPr>
              <w:jc w:val="center"/>
              <w:rPr>
                <w:color w:val="000000"/>
              </w:rPr>
            </w:pPr>
            <w:r>
              <w:rPr>
                <w:rFonts w:hint="eastAsia"/>
                <w:color w:val="000000"/>
              </w:rPr>
              <w:t>C16680041</w:t>
            </w:r>
          </w:p>
        </w:tc>
        <w:tc>
          <w:tcPr>
            <w:tcW w:w="3058" w:type="dxa"/>
            <w:tcBorders>
              <w:top w:val="nil"/>
              <w:left w:val="nil"/>
              <w:bottom w:val="nil"/>
              <w:right w:val="nil"/>
            </w:tcBorders>
            <w:shd w:val="clear" w:color="auto" w:fill="FFFFFF"/>
            <w:vAlign w:val="center"/>
          </w:tcPr>
          <w:p w14:paraId="5E2B7053">
            <w:pPr>
              <w:jc w:val="center"/>
              <w:rPr>
                <w:color w:val="000000"/>
              </w:rPr>
            </w:pPr>
            <w:r>
              <w:rPr>
                <w:color w:val="000000"/>
              </w:rPr>
              <w:t>山东科源生化有限公司</w:t>
            </w:r>
          </w:p>
        </w:tc>
      </w:tr>
      <w:tr w14:paraId="66EB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nil"/>
              <w:right w:val="nil"/>
            </w:tcBorders>
            <w:shd w:val="clear" w:color="auto" w:fill="FFFFFF"/>
            <w:vAlign w:val="center"/>
          </w:tcPr>
          <w:p w14:paraId="6A702826">
            <w:pPr>
              <w:jc w:val="center"/>
              <w:rPr>
                <w:color w:val="000000"/>
              </w:rPr>
            </w:pPr>
            <w:r>
              <w:rPr>
                <w:rFonts w:hint="eastAsia"/>
                <w:color w:val="000000"/>
              </w:rPr>
              <w:t>DPPH试剂</w:t>
            </w:r>
          </w:p>
        </w:tc>
        <w:tc>
          <w:tcPr>
            <w:tcW w:w="3058" w:type="dxa"/>
            <w:tcBorders>
              <w:top w:val="nil"/>
              <w:left w:val="nil"/>
              <w:bottom w:val="nil"/>
              <w:right w:val="nil"/>
            </w:tcBorders>
            <w:shd w:val="clear" w:color="auto" w:fill="FFFFFF"/>
            <w:vAlign w:val="center"/>
          </w:tcPr>
          <w:p w14:paraId="25437A7B">
            <w:pPr>
              <w:jc w:val="center"/>
              <w:rPr>
                <w:color w:val="000000"/>
              </w:rPr>
            </w:pPr>
            <w:r>
              <w:rPr>
                <w:rFonts w:hint="eastAsia"/>
                <w:color w:val="000000"/>
              </w:rPr>
              <w:t>C16389061</w:t>
            </w:r>
          </w:p>
        </w:tc>
        <w:tc>
          <w:tcPr>
            <w:tcW w:w="3058" w:type="dxa"/>
            <w:tcBorders>
              <w:top w:val="nil"/>
              <w:left w:val="nil"/>
              <w:bottom w:val="nil"/>
              <w:right w:val="nil"/>
            </w:tcBorders>
            <w:shd w:val="clear" w:color="auto" w:fill="FFFFFF"/>
            <w:vAlign w:val="center"/>
          </w:tcPr>
          <w:p w14:paraId="56DDFA66">
            <w:pPr>
              <w:jc w:val="center"/>
              <w:rPr>
                <w:color w:val="000000"/>
              </w:rPr>
            </w:pPr>
            <w:bookmarkStart w:id="2" w:name="OLE_LINK5"/>
            <w:r>
              <w:rPr>
                <w:rFonts w:hint="eastAsia"/>
                <w:color w:val="000000"/>
              </w:rPr>
              <w:t>上海麦克林生化科技股份有限公司</w:t>
            </w:r>
            <w:bookmarkEnd w:id="2"/>
          </w:p>
        </w:tc>
      </w:tr>
      <w:tr w14:paraId="12EAC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8" w:type="dxa"/>
            <w:tcBorders>
              <w:top w:val="nil"/>
              <w:left w:val="nil"/>
              <w:bottom w:val="single" w:color="000000" w:sz="12" w:space="0"/>
              <w:right w:val="nil"/>
            </w:tcBorders>
            <w:shd w:val="clear" w:color="auto" w:fill="FFFFFF"/>
            <w:vAlign w:val="center"/>
          </w:tcPr>
          <w:p w14:paraId="7BEFF60A">
            <w:pPr>
              <w:jc w:val="center"/>
              <w:rPr>
                <w:color w:val="000000"/>
              </w:rPr>
            </w:pPr>
            <w:r>
              <w:rPr>
                <w:color w:val="000000"/>
              </w:rPr>
              <w:t>ABTS试剂</w:t>
            </w:r>
          </w:p>
        </w:tc>
        <w:tc>
          <w:tcPr>
            <w:tcW w:w="3058" w:type="dxa"/>
            <w:tcBorders>
              <w:top w:val="nil"/>
              <w:left w:val="nil"/>
              <w:bottom w:val="single" w:color="000000" w:sz="12" w:space="0"/>
              <w:right w:val="nil"/>
            </w:tcBorders>
            <w:shd w:val="clear" w:color="auto" w:fill="FFFFFF"/>
            <w:vAlign w:val="center"/>
          </w:tcPr>
          <w:p w14:paraId="023695B8">
            <w:pPr>
              <w:jc w:val="center"/>
              <w:rPr>
                <w:color w:val="000000"/>
              </w:rPr>
            </w:pPr>
            <w:r>
              <w:rPr>
                <w:rFonts w:hint="eastAsia"/>
                <w:color w:val="000000"/>
              </w:rPr>
              <w:t>JS264840</w:t>
            </w:r>
          </w:p>
        </w:tc>
        <w:tc>
          <w:tcPr>
            <w:tcW w:w="3058" w:type="dxa"/>
            <w:tcBorders>
              <w:top w:val="nil"/>
              <w:left w:val="nil"/>
              <w:bottom w:val="single" w:color="000000" w:sz="12" w:space="0"/>
              <w:right w:val="nil"/>
            </w:tcBorders>
            <w:shd w:val="clear" w:color="auto" w:fill="FFFFFF"/>
            <w:vAlign w:val="center"/>
          </w:tcPr>
          <w:p w14:paraId="63818CAE">
            <w:pPr>
              <w:jc w:val="center"/>
              <w:rPr>
                <w:color w:val="000000"/>
              </w:rPr>
            </w:pPr>
            <w:r>
              <w:rPr>
                <w:rFonts w:hint="eastAsia"/>
                <w:color w:val="000000"/>
              </w:rPr>
              <w:t>上海麦克林生化科技股份有限公司</w:t>
            </w:r>
          </w:p>
        </w:tc>
      </w:tr>
    </w:tbl>
    <w:p w14:paraId="3719AC33">
      <w:pPr>
        <w:pStyle w:val="3"/>
      </w:pPr>
      <w:bookmarkStart w:id="3" w:name="_Toc16598"/>
      <w:bookmarkStart w:id="4" w:name="_Toc16351"/>
      <w:r>
        <w:rPr>
          <w:rFonts w:hint="eastAsia"/>
        </w:rPr>
        <w:t>1.2 仪器与设备</w:t>
      </w:r>
      <w:bookmarkEnd w:id="3"/>
      <w:bookmarkEnd w:id="4"/>
    </w:p>
    <w:p w14:paraId="7B5FF866">
      <w:pPr>
        <w:jc w:val="center"/>
        <w:rPr>
          <w:sz w:val="24"/>
        </w:rPr>
      </w:pPr>
      <w:r>
        <w:rPr>
          <w:rFonts w:hint="eastAsia"/>
          <w:sz w:val="24"/>
        </w:rPr>
        <w:t>表3 仪器设备</w:t>
      </w:r>
    </w:p>
    <w:p w14:paraId="51926A1A">
      <w:pPr>
        <w:jc w:val="center"/>
        <w:rPr>
          <w:sz w:val="24"/>
        </w:rPr>
      </w:pPr>
      <w:r>
        <w:rPr>
          <w:sz w:val="24"/>
        </w:rPr>
        <w:t xml:space="preserve">Table </w:t>
      </w:r>
      <w:r>
        <w:rPr>
          <w:rFonts w:hint="eastAsia"/>
          <w:sz w:val="24"/>
        </w:rPr>
        <w:t>1-</w:t>
      </w:r>
      <w:r>
        <w:rPr>
          <w:sz w:val="24"/>
        </w:rPr>
        <w:t>2 Equipment</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3193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top w:val="single" w:color="000000" w:sz="12" w:space="0"/>
              <w:left w:val="nil"/>
              <w:bottom w:val="single" w:color="000000" w:sz="4" w:space="0"/>
              <w:right w:val="nil"/>
              <w:tl2br w:val="nil"/>
            </w:tcBorders>
            <w:shd w:val="clear" w:color="auto" w:fill="FFFFFF"/>
            <w:vAlign w:val="center"/>
          </w:tcPr>
          <w:p w14:paraId="75FD1D02">
            <w:pPr>
              <w:jc w:val="center"/>
              <w:rPr>
                <w:color w:val="000000"/>
              </w:rPr>
            </w:pPr>
            <w:r>
              <w:rPr>
                <w:rFonts w:hint="eastAsia"/>
                <w:color w:val="000000"/>
              </w:rPr>
              <w:t>仪器</w:t>
            </w:r>
          </w:p>
        </w:tc>
        <w:tc>
          <w:tcPr>
            <w:tcW w:w="2500" w:type="pct"/>
            <w:tcBorders>
              <w:top w:val="single" w:color="000000" w:sz="12" w:space="0"/>
              <w:left w:val="nil"/>
              <w:bottom w:val="single" w:color="000000" w:sz="4" w:space="0"/>
              <w:right w:val="nil"/>
            </w:tcBorders>
            <w:shd w:val="clear" w:color="auto" w:fill="FFFFFF"/>
            <w:vAlign w:val="center"/>
          </w:tcPr>
          <w:p w14:paraId="5DCB2BAD">
            <w:pPr>
              <w:jc w:val="center"/>
              <w:rPr>
                <w:color w:val="000000"/>
              </w:rPr>
            </w:pPr>
            <w:r>
              <w:rPr>
                <w:rFonts w:hint="eastAsia"/>
                <w:color w:val="000000"/>
              </w:rPr>
              <w:t>生产厂家</w:t>
            </w:r>
          </w:p>
        </w:tc>
      </w:tr>
      <w:tr w14:paraId="692F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top w:val="single" w:color="000000" w:sz="4" w:space="0"/>
              <w:left w:val="nil"/>
              <w:bottom w:val="nil"/>
              <w:right w:val="nil"/>
            </w:tcBorders>
            <w:shd w:val="clear" w:color="auto" w:fill="FFFFFF"/>
            <w:vAlign w:val="center"/>
          </w:tcPr>
          <w:p w14:paraId="391E441C">
            <w:pPr>
              <w:jc w:val="center"/>
              <w:rPr>
                <w:color w:val="000000"/>
              </w:rPr>
            </w:pPr>
            <w:r>
              <w:rPr>
                <w:rFonts w:hint="eastAsia"/>
                <w:color w:val="000000"/>
              </w:rPr>
              <w:t>DGG-9070B电热鼓风干燥箱</w:t>
            </w:r>
          </w:p>
        </w:tc>
        <w:tc>
          <w:tcPr>
            <w:tcW w:w="2500" w:type="pct"/>
            <w:tcBorders>
              <w:top w:val="single" w:color="000000" w:sz="4" w:space="0"/>
              <w:left w:val="nil"/>
              <w:bottom w:val="nil"/>
              <w:right w:val="nil"/>
            </w:tcBorders>
            <w:shd w:val="clear" w:color="auto" w:fill="FFFFFF"/>
            <w:vAlign w:val="center"/>
          </w:tcPr>
          <w:p w14:paraId="2F161D93">
            <w:pPr>
              <w:jc w:val="center"/>
              <w:rPr>
                <w:color w:val="000000"/>
              </w:rPr>
            </w:pPr>
            <w:r>
              <w:rPr>
                <w:rFonts w:hint="eastAsia"/>
                <w:color w:val="000000"/>
              </w:rPr>
              <w:t>上海一恒科技有限公司</w:t>
            </w:r>
          </w:p>
        </w:tc>
      </w:tr>
      <w:tr w14:paraId="491B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top w:val="nil"/>
              <w:left w:val="nil"/>
              <w:bottom w:val="nil"/>
              <w:right w:val="nil"/>
            </w:tcBorders>
            <w:shd w:val="clear" w:color="auto" w:fill="FFFFFF"/>
            <w:vAlign w:val="center"/>
          </w:tcPr>
          <w:p w14:paraId="5EFC7C3E">
            <w:pPr>
              <w:jc w:val="center"/>
              <w:rPr>
                <w:color w:val="000000"/>
              </w:rPr>
            </w:pPr>
            <w:r>
              <w:rPr>
                <w:rFonts w:hint="eastAsia"/>
                <w:color w:val="000000"/>
              </w:rPr>
              <w:t>YH-M3003电子天平</w:t>
            </w:r>
          </w:p>
        </w:tc>
        <w:tc>
          <w:tcPr>
            <w:tcW w:w="2500" w:type="pct"/>
            <w:tcBorders>
              <w:top w:val="nil"/>
              <w:left w:val="nil"/>
              <w:bottom w:val="nil"/>
              <w:right w:val="nil"/>
            </w:tcBorders>
            <w:shd w:val="clear" w:color="auto" w:fill="FFFFFF"/>
            <w:vAlign w:val="center"/>
          </w:tcPr>
          <w:p w14:paraId="42FBCB12">
            <w:pPr>
              <w:jc w:val="center"/>
              <w:rPr>
                <w:color w:val="000000"/>
              </w:rPr>
            </w:pPr>
            <w:r>
              <w:rPr>
                <w:rFonts w:hint="eastAsia"/>
                <w:color w:val="000000"/>
              </w:rPr>
              <w:t>瑞安市英衡电器有限公司</w:t>
            </w:r>
          </w:p>
        </w:tc>
      </w:tr>
      <w:tr w14:paraId="030FC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top w:val="nil"/>
              <w:left w:val="nil"/>
              <w:bottom w:val="nil"/>
              <w:right w:val="nil"/>
            </w:tcBorders>
            <w:shd w:val="clear" w:color="auto" w:fill="FFFFFF"/>
            <w:vAlign w:val="center"/>
          </w:tcPr>
          <w:p w14:paraId="493D15B8">
            <w:pPr>
              <w:jc w:val="center"/>
              <w:rPr>
                <w:color w:val="000000"/>
              </w:rPr>
            </w:pPr>
            <w:r>
              <w:rPr>
                <w:rFonts w:hint="eastAsia"/>
                <w:color w:val="000000"/>
              </w:rPr>
              <w:t>A390 型紫外可见分光光度计</w:t>
            </w:r>
          </w:p>
        </w:tc>
        <w:tc>
          <w:tcPr>
            <w:tcW w:w="2500" w:type="pct"/>
            <w:tcBorders>
              <w:top w:val="nil"/>
              <w:left w:val="nil"/>
              <w:bottom w:val="nil"/>
              <w:right w:val="nil"/>
            </w:tcBorders>
            <w:shd w:val="clear" w:color="auto" w:fill="FFFFFF"/>
            <w:vAlign w:val="center"/>
          </w:tcPr>
          <w:p w14:paraId="003A90EA">
            <w:pPr>
              <w:jc w:val="center"/>
              <w:rPr>
                <w:color w:val="000000"/>
              </w:rPr>
            </w:pPr>
            <w:r>
              <w:rPr>
                <w:rFonts w:hint="eastAsia"/>
                <w:color w:val="000000"/>
              </w:rPr>
              <w:t>翱艺仪器（上海）有限公司</w:t>
            </w:r>
          </w:p>
        </w:tc>
      </w:tr>
      <w:tr w14:paraId="0226B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00" w:type="pct"/>
            <w:tcBorders>
              <w:top w:val="nil"/>
              <w:left w:val="nil"/>
              <w:bottom w:val="single" w:color="000000" w:sz="12" w:space="0"/>
              <w:right w:val="nil"/>
            </w:tcBorders>
            <w:shd w:val="clear" w:color="auto" w:fill="FFFFFF"/>
            <w:vAlign w:val="center"/>
          </w:tcPr>
          <w:p w14:paraId="32D28110">
            <w:pPr>
              <w:jc w:val="center"/>
              <w:rPr>
                <w:color w:val="000000"/>
              </w:rPr>
            </w:pPr>
            <w:r>
              <w:rPr>
                <w:rFonts w:hint="eastAsia"/>
                <w:color w:val="000000"/>
              </w:rPr>
              <w:t>CM-3700d色差仪</w:t>
            </w:r>
          </w:p>
        </w:tc>
        <w:tc>
          <w:tcPr>
            <w:tcW w:w="2500" w:type="pct"/>
            <w:tcBorders>
              <w:top w:val="nil"/>
              <w:left w:val="nil"/>
              <w:bottom w:val="single" w:color="000000" w:sz="12" w:space="0"/>
              <w:right w:val="nil"/>
            </w:tcBorders>
            <w:shd w:val="clear" w:color="auto" w:fill="FFFFFF"/>
            <w:vAlign w:val="center"/>
          </w:tcPr>
          <w:p w14:paraId="23581FBB">
            <w:pPr>
              <w:jc w:val="center"/>
              <w:rPr>
                <w:color w:val="000000"/>
              </w:rPr>
            </w:pPr>
            <w:r>
              <w:rPr>
                <w:rFonts w:hint="eastAsia"/>
                <w:color w:val="000000"/>
              </w:rPr>
              <w:t>广州卓谐仪器设备有限公司</w:t>
            </w:r>
          </w:p>
        </w:tc>
      </w:tr>
    </w:tbl>
    <w:p w14:paraId="02413EF4">
      <w:pPr>
        <w:pStyle w:val="3"/>
      </w:pPr>
      <w:bookmarkStart w:id="5" w:name="_Toc21508"/>
      <w:bookmarkStart w:id="6" w:name="_Toc27719"/>
      <w:r>
        <w:rPr>
          <w:rFonts w:hint="eastAsia"/>
        </w:rPr>
        <w:t>1.3 实验方法</w:t>
      </w:r>
      <w:bookmarkEnd w:id="5"/>
      <w:bookmarkEnd w:id="6"/>
    </w:p>
    <w:p w14:paraId="6D5B7226">
      <w:pPr>
        <w:pStyle w:val="4"/>
      </w:pPr>
      <w:r>
        <w:rPr>
          <w:rFonts w:hint="eastAsia"/>
        </w:rPr>
        <w:t>1.3.1五指毛桃露酒（露酒工艺）加工工艺流程及操作要点</w:t>
      </w:r>
    </w:p>
    <w:p w14:paraId="0B44EA10">
      <w:r>
        <w:rPr>
          <w:rFonts w:hint="eastAsia"/>
        </w:rPr>
        <w:drawing>
          <wp:inline distT="0" distB="0" distL="0" distR="0">
            <wp:extent cx="5685790" cy="1494790"/>
            <wp:effectExtent l="0" t="0" r="10160" b="10160"/>
            <wp:docPr id="1029" name="F360BE8B-6686-4F3D-AEAF-501FE73E4058-1" descr="绘图1"/>
            <wp:cNvGraphicFramePr/>
            <a:graphic xmlns:a="http://schemas.openxmlformats.org/drawingml/2006/main">
              <a:graphicData uri="http://schemas.openxmlformats.org/drawingml/2006/picture">
                <pic:pic xmlns:pic="http://schemas.openxmlformats.org/drawingml/2006/picture">
                  <pic:nvPicPr>
                    <pic:cNvPr id="1029" name="F360BE8B-6686-4F3D-AEAF-501FE73E4058-1" descr="绘图1"/>
                    <pic:cNvPicPr/>
                  </pic:nvPicPr>
                  <pic:blipFill>
                    <a:blip r:embed="rId7" cstate="print"/>
                    <a:srcRect/>
                    <a:stretch>
                      <a:fillRect/>
                    </a:stretch>
                  </pic:blipFill>
                  <pic:spPr>
                    <a:xfrm>
                      <a:off x="0" y="0"/>
                      <a:ext cx="5685790" cy="1494790"/>
                    </a:xfrm>
                    <a:prstGeom prst="rect">
                      <a:avLst/>
                    </a:prstGeom>
                  </pic:spPr>
                </pic:pic>
              </a:graphicData>
            </a:graphic>
          </wp:inline>
        </w:drawing>
      </w:r>
    </w:p>
    <w:p w14:paraId="1552FECC">
      <w:pPr>
        <w:jc w:val="center"/>
        <w:rPr>
          <w:sz w:val="24"/>
        </w:rPr>
      </w:pPr>
      <w:r>
        <w:rPr>
          <w:sz w:val="24"/>
        </w:rPr>
        <w:t>图</w:t>
      </w:r>
      <w:r>
        <w:rPr>
          <w:rFonts w:hint="eastAsia"/>
          <w:sz w:val="24"/>
        </w:rPr>
        <w:t>1-</w:t>
      </w:r>
      <w:r>
        <w:rPr>
          <w:sz w:val="24"/>
        </w:rPr>
        <w:t>1 工艺流程图</w:t>
      </w:r>
    </w:p>
    <w:p w14:paraId="07EB5C62">
      <w:pPr>
        <w:jc w:val="center"/>
        <w:rPr>
          <w:sz w:val="24"/>
        </w:rPr>
      </w:pPr>
      <w:r>
        <w:rPr>
          <w:sz w:val="24"/>
        </w:rPr>
        <w:t>Fig.</w:t>
      </w:r>
      <w:r>
        <w:rPr>
          <w:rFonts w:hint="eastAsia"/>
          <w:sz w:val="24"/>
        </w:rPr>
        <w:t>1-</w:t>
      </w:r>
      <w:r>
        <w:rPr>
          <w:sz w:val="24"/>
        </w:rPr>
        <w:t>1 Process flow chart</w:t>
      </w:r>
    </w:p>
    <w:p w14:paraId="46D7E62B">
      <w:pPr>
        <w:pStyle w:val="26"/>
        <w:numPr>
          <w:ilvl w:val="255"/>
          <w:numId w:val="0"/>
        </w:numPr>
        <w:spacing w:beforeLines="0" w:afterLines="0" w:line="500" w:lineRule="exact"/>
        <w:ind w:firstLine="606" w:firstLineChars="200"/>
        <w:jc w:val="left"/>
        <w:rPr>
          <w:rFonts w:ascii="仿宋_GB2312" w:hAnsi="宋体" w:eastAsia="仿宋_GB2312"/>
          <w:color w:val="000000"/>
          <w:kern w:val="2"/>
          <w:sz w:val="30"/>
          <w:szCs w:val="30"/>
        </w:rPr>
      </w:pPr>
      <w:bookmarkStart w:id="7" w:name="_Toc4190"/>
      <w:r>
        <w:rPr>
          <w:rFonts w:hint="eastAsia" w:ascii="仿宋_GB2312" w:hAnsi="宋体" w:eastAsia="仿宋_GB2312"/>
          <w:color w:val="000000"/>
          <w:kern w:val="2"/>
          <w:sz w:val="30"/>
          <w:szCs w:val="30"/>
        </w:rPr>
        <w:t>调配酒精度</w:t>
      </w:r>
      <w:bookmarkEnd w:id="7"/>
      <w:r>
        <w:rPr>
          <w:rFonts w:hint="eastAsia" w:ascii="仿宋_GB2312" w:hAnsi="宋体" w:eastAsia="仿宋_GB2312"/>
          <w:color w:val="000000"/>
          <w:kern w:val="2"/>
          <w:sz w:val="30"/>
          <w:szCs w:val="30"/>
        </w:rPr>
        <w:t>：以自制的大米、沃柑等蒸馏酒或葡萄、龙眼等发酵酒为酒基，与蒸馏水在洁净的容器中混合均匀，混合调配至所需酒精度，酒精度范围宜在20.0% vol～55.0% vol。</w:t>
      </w:r>
    </w:p>
    <w:p w14:paraId="1344341E">
      <w:pPr>
        <w:pStyle w:val="26"/>
        <w:numPr>
          <w:ilvl w:val="255"/>
          <w:numId w:val="0"/>
        </w:numPr>
        <w:spacing w:beforeLines="0" w:afterLines="0" w:line="500" w:lineRule="exact"/>
        <w:ind w:firstLine="606" w:firstLineChars="200"/>
        <w:jc w:val="left"/>
        <w:rPr>
          <w:rFonts w:ascii="仿宋_GB2312" w:hAnsi="宋体" w:eastAsia="仿宋_GB2312"/>
          <w:color w:val="000000"/>
          <w:kern w:val="2"/>
          <w:sz w:val="30"/>
          <w:szCs w:val="30"/>
        </w:rPr>
      </w:pPr>
      <w:r>
        <w:rPr>
          <w:rFonts w:hint="eastAsia" w:ascii="仿宋_GB2312" w:hAnsi="宋体" w:eastAsia="仿宋_GB2312"/>
          <w:color w:val="000000"/>
          <w:kern w:val="2"/>
          <w:sz w:val="30"/>
          <w:szCs w:val="30"/>
        </w:rPr>
        <w:t>净选：挑选皮薄而韧、易剥离、富纤维性，表面橙黄色至红棕色，有一股天然的淡椰香味的优质五指毛桃根部，除去杂质，用水枪冲洗，除去泥沙等杂物，稍沥干。</w:t>
      </w:r>
    </w:p>
    <w:p w14:paraId="7DC76E81">
      <w:pPr>
        <w:pStyle w:val="26"/>
        <w:numPr>
          <w:ilvl w:val="255"/>
          <w:numId w:val="0"/>
        </w:numPr>
        <w:spacing w:beforeLines="0" w:afterLines="0" w:line="500" w:lineRule="exact"/>
        <w:ind w:firstLine="606" w:firstLineChars="200"/>
        <w:jc w:val="left"/>
        <w:rPr>
          <w:rFonts w:ascii="仿宋_GB2312" w:hAnsi="宋体" w:eastAsia="仿宋_GB2312"/>
          <w:color w:val="000000"/>
          <w:kern w:val="2"/>
          <w:sz w:val="30"/>
          <w:szCs w:val="30"/>
        </w:rPr>
      </w:pPr>
      <w:r>
        <w:rPr>
          <w:rFonts w:hint="eastAsia" w:ascii="仿宋_GB2312" w:hAnsi="宋体" w:eastAsia="仿宋_GB2312"/>
          <w:color w:val="000000"/>
          <w:kern w:val="2"/>
          <w:sz w:val="30"/>
          <w:szCs w:val="30"/>
        </w:rPr>
        <w:t>切制：将洗净的五指毛桃用干净的切制设备，选取直径1.5 cm以上的根进行切片，片厚</w:t>
      </w:r>
      <w:r>
        <w:rPr>
          <w:rFonts w:ascii="仿宋_GB2312" w:hAnsi="宋体" w:eastAsia="仿宋_GB2312"/>
          <w:color w:val="000000"/>
          <w:kern w:val="2"/>
          <w:sz w:val="30"/>
          <w:szCs w:val="30"/>
        </w:rPr>
        <w:t>2</w:t>
      </w:r>
      <w:r>
        <w:rPr>
          <w:rFonts w:hint="eastAsia" w:ascii="仿宋_GB2312" w:hAnsi="宋体" w:eastAsia="仿宋_GB2312"/>
          <w:color w:val="000000"/>
          <w:kern w:val="2"/>
          <w:sz w:val="30"/>
          <w:szCs w:val="30"/>
        </w:rPr>
        <w:t xml:space="preserve"> </w:t>
      </w:r>
      <w:r>
        <w:rPr>
          <w:rFonts w:ascii="仿宋_GB2312" w:hAnsi="宋体" w:eastAsia="仿宋_GB2312"/>
          <w:color w:val="000000"/>
          <w:kern w:val="2"/>
          <w:sz w:val="30"/>
          <w:szCs w:val="30"/>
        </w:rPr>
        <w:t>mm</w:t>
      </w:r>
      <w:r>
        <w:rPr>
          <w:rFonts w:hint="eastAsia" w:ascii="仿宋_GB2312" w:hAnsi="宋体" w:eastAsia="仿宋_GB2312"/>
          <w:color w:val="000000"/>
          <w:kern w:val="2"/>
          <w:sz w:val="30"/>
          <w:szCs w:val="30"/>
        </w:rPr>
        <w:t>～</w:t>
      </w:r>
      <w:r>
        <w:rPr>
          <w:rFonts w:ascii="仿宋_GB2312" w:hAnsi="宋体" w:eastAsia="仿宋_GB2312"/>
          <w:color w:val="000000"/>
          <w:kern w:val="2"/>
          <w:sz w:val="30"/>
          <w:szCs w:val="30"/>
        </w:rPr>
        <w:t>4</w:t>
      </w:r>
      <w:r>
        <w:rPr>
          <w:rFonts w:hint="eastAsia" w:ascii="仿宋_GB2312" w:hAnsi="宋体" w:eastAsia="仿宋_GB2312"/>
          <w:color w:val="000000"/>
          <w:kern w:val="2"/>
          <w:sz w:val="30"/>
          <w:szCs w:val="30"/>
        </w:rPr>
        <w:t xml:space="preserve"> </w:t>
      </w:r>
      <w:r>
        <w:rPr>
          <w:rFonts w:ascii="仿宋_GB2312" w:hAnsi="宋体" w:eastAsia="仿宋_GB2312"/>
          <w:color w:val="000000"/>
          <w:kern w:val="2"/>
          <w:sz w:val="30"/>
          <w:szCs w:val="30"/>
        </w:rPr>
        <w:t>mm</w:t>
      </w:r>
      <w:r>
        <w:rPr>
          <w:rFonts w:hint="eastAsia" w:ascii="仿宋_GB2312" w:hAnsi="宋体" w:eastAsia="仿宋_GB2312"/>
          <w:color w:val="000000"/>
          <w:kern w:val="2"/>
          <w:sz w:val="30"/>
          <w:szCs w:val="30"/>
        </w:rPr>
        <w:t>。切片前注意需将根晾晒或烘至含水率30%以下， 以防切制时根皮部分离脱落。选取直径</w:t>
      </w:r>
      <w:r>
        <w:rPr>
          <w:rFonts w:ascii="仿宋_GB2312" w:hAnsi="宋体" w:eastAsia="仿宋_GB2312"/>
          <w:color w:val="000000"/>
          <w:kern w:val="2"/>
          <w:sz w:val="30"/>
          <w:szCs w:val="30"/>
        </w:rPr>
        <w:t>0.5</w:t>
      </w:r>
      <w:r>
        <w:rPr>
          <w:rFonts w:hint="eastAsia" w:ascii="仿宋_GB2312" w:hAnsi="宋体" w:eastAsia="仿宋_GB2312"/>
          <w:color w:val="000000"/>
          <w:kern w:val="2"/>
          <w:sz w:val="30"/>
          <w:szCs w:val="30"/>
        </w:rPr>
        <w:t xml:space="preserve"> </w:t>
      </w:r>
      <w:r>
        <w:rPr>
          <w:rFonts w:ascii="仿宋_GB2312" w:hAnsi="宋体" w:eastAsia="仿宋_GB2312"/>
          <w:color w:val="000000"/>
          <w:kern w:val="2"/>
          <w:sz w:val="30"/>
          <w:szCs w:val="30"/>
        </w:rPr>
        <w:t>cm</w:t>
      </w:r>
      <w:r>
        <w:rPr>
          <w:rFonts w:hint="eastAsia" w:ascii="仿宋_GB2312" w:hAnsi="宋体" w:eastAsia="仿宋_GB2312"/>
          <w:color w:val="000000"/>
          <w:kern w:val="2"/>
          <w:sz w:val="30"/>
          <w:szCs w:val="30"/>
        </w:rPr>
        <w:t>～</w:t>
      </w:r>
      <w:r>
        <w:rPr>
          <w:rFonts w:ascii="仿宋_GB2312" w:hAnsi="宋体" w:eastAsia="仿宋_GB2312"/>
          <w:color w:val="000000"/>
          <w:kern w:val="2"/>
          <w:sz w:val="30"/>
          <w:szCs w:val="30"/>
        </w:rPr>
        <w:t>1.5</w:t>
      </w:r>
      <w:r>
        <w:rPr>
          <w:rFonts w:hint="eastAsia" w:ascii="仿宋_GB2312" w:hAnsi="宋体" w:eastAsia="仿宋_GB2312"/>
          <w:color w:val="000000"/>
          <w:kern w:val="2"/>
          <w:sz w:val="30"/>
          <w:szCs w:val="30"/>
        </w:rPr>
        <w:t xml:space="preserve"> </w:t>
      </w:r>
      <w:r>
        <w:rPr>
          <w:rFonts w:ascii="仿宋_GB2312" w:hAnsi="宋体" w:eastAsia="仿宋_GB2312"/>
          <w:color w:val="000000"/>
          <w:kern w:val="2"/>
          <w:sz w:val="30"/>
          <w:szCs w:val="30"/>
        </w:rPr>
        <w:t>cm</w:t>
      </w:r>
      <w:r>
        <w:rPr>
          <w:rFonts w:hint="eastAsia" w:ascii="仿宋_GB2312" w:hAnsi="宋体" w:eastAsia="仿宋_GB2312"/>
          <w:color w:val="000000"/>
          <w:kern w:val="2"/>
          <w:sz w:val="30"/>
          <w:szCs w:val="30"/>
        </w:rPr>
        <w:t>的侧根，切成长度</w:t>
      </w:r>
      <w:r>
        <w:rPr>
          <w:rFonts w:ascii="仿宋_GB2312" w:hAnsi="宋体" w:eastAsia="仿宋_GB2312"/>
          <w:color w:val="000000"/>
          <w:kern w:val="2"/>
          <w:sz w:val="30"/>
          <w:szCs w:val="30"/>
        </w:rPr>
        <w:t>1</w:t>
      </w:r>
      <w:r>
        <w:rPr>
          <w:rFonts w:hint="eastAsia" w:ascii="仿宋_GB2312" w:hAnsi="宋体" w:eastAsia="仿宋_GB2312"/>
          <w:color w:val="000000"/>
          <w:kern w:val="2"/>
          <w:sz w:val="30"/>
          <w:szCs w:val="30"/>
        </w:rPr>
        <w:t xml:space="preserve"> </w:t>
      </w:r>
      <w:r>
        <w:rPr>
          <w:rFonts w:ascii="仿宋_GB2312" w:hAnsi="宋体" w:eastAsia="仿宋_GB2312"/>
          <w:color w:val="000000"/>
          <w:kern w:val="2"/>
          <w:sz w:val="30"/>
          <w:szCs w:val="30"/>
        </w:rPr>
        <w:t>cm</w:t>
      </w:r>
      <w:r>
        <w:rPr>
          <w:rFonts w:hint="eastAsia" w:ascii="仿宋_GB2312" w:hAnsi="宋体" w:eastAsia="仿宋_GB2312"/>
          <w:color w:val="000000"/>
          <w:kern w:val="2"/>
          <w:sz w:val="30"/>
          <w:szCs w:val="30"/>
        </w:rPr>
        <w:t>～</w:t>
      </w:r>
      <w:r>
        <w:rPr>
          <w:rFonts w:ascii="仿宋_GB2312" w:hAnsi="宋体" w:eastAsia="仿宋_GB2312"/>
          <w:color w:val="000000"/>
          <w:kern w:val="2"/>
          <w:sz w:val="30"/>
          <w:szCs w:val="30"/>
        </w:rPr>
        <w:t>1.5</w:t>
      </w:r>
      <w:r>
        <w:rPr>
          <w:rFonts w:hint="eastAsia" w:ascii="仿宋_GB2312" w:hAnsi="宋体" w:eastAsia="仿宋_GB2312"/>
          <w:color w:val="000000"/>
          <w:kern w:val="2"/>
          <w:sz w:val="30"/>
          <w:szCs w:val="30"/>
        </w:rPr>
        <w:t xml:space="preserve"> </w:t>
      </w:r>
      <w:r>
        <w:rPr>
          <w:rFonts w:ascii="仿宋_GB2312" w:hAnsi="宋体" w:eastAsia="仿宋_GB2312"/>
          <w:color w:val="000000"/>
          <w:kern w:val="2"/>
          <w:sz w:val="30"/>
          <w:szCs w:val="30"/>
        </w:rPr>
        <w:t>cm、3</w:t>
      </w:r>
      <w:r>
        <w:rPr>
          <w:rFonts w:hint="eastAsia" w:ascii="仿宋_GB2312" w:hAnsi="宋体" w:eastAsia="仿宋_GB2312"/>
          <w:color w:val="000000"/>
          <w:kern w:val="2"/>
          <w:sz w:val="30"/>
          <w:szCs w:val="30"/>
        </w:rPr>
        <w:t xml:space="preserve"> </w:t>
      </w:r>
      <w:r>
        <w:rPr>
          <w:rFonts w:ascii="仿宋_GB2312" w:hAnsi="宋体" w:eastAsia="仿宋_GB2312"/>
          <w:color w:val="000000"/>
          <w:kern w:val="2"/>
          <w:sz w:val="30"/>
          <w:szCs w:val="30"/>
        </w:rPr>
        <w:t>cm</w:t>
      </w:r>
      <w:r>
        <w:rPr>
          <w:rFonts w:hint="eastAsia" w:ascii="仿宋_GB2312" w:hAnsi="宋体" w:eastAsia="仿宋_GB2312"/>
          <w:color w:val="000000"/>
          <w:kern w:val="2"/>
          <w:sz w:val="30"/>
          <w:szCs w:val="30"/>
        </w:rPr>
        <w:t>～</w:t>
      </w:r>
      <w:r>
        <w:rPr>
          <w:rFonts w:ascii="仿宋_GB2312" w:hAnsi="宋体" w:eastAsia="仿宋_GB2312"/>
          <w:color w:val="000000"/>
          <w:kern w:val="2"/>
          <w:sz w:val="30"/>
          <w:szCs w:val="30"/>
        </w:rPr>
        <w:t>5</w:t>
      </w:r>
      <w:r>
        <w:rPr>
          <w:rFonts w:hint="eastAsia" w:ascii="仿宋_GB2312" w:hAnsi="宋体" w:eastAsia="仿宋_GB2312"/>
          <w:color w:val="000000"/>
          <w:kern w:val="2"/>
          <w:sz w:val="30"/>
          <w:szCs w:val="30"/>
        </w:rPr>
        <w:t xml:space="preserve"> </w:t>
      </w:r>
      <w:r>
        <w:rPr>
          <w:rFonts w:ascii="仿宋_GB2312" w:hAnsi="宋体" w:eastAsia="仿宋_GB2312"/>
          <w:color w:val="000000"/>
          <w:kern w:val="2"/>
          <w:sz w:val="30"/>
          <w:szCs w:val="30"/>
        </w:rPr>
        <w:t>cm</w:t>
      </w:r>
      <w:r>
        <w:rPr>
          <w:rFonts w:hint="eastAsia" w:ascii="仿宋_GB2312" w:hAnsi="宋体" w:eastAsia="仿宋_GB2312"/>
          <w:color w:val="000000"/>
          <w:kern w:val="2"/>
          <w:sz w:val="30"/>
          <w:szCs w:val="30"/>
        </w:rPr>
        <w:t>规格的段。</w:t>
      </w:r>
    </w:p>
    <w:p w14:paraId="185A13F1">
      <w:pPr>
        <w:pStyle w:val="26"/>
        <w:numPr>
          <w:ilvl w:val="255"/>
          <w:numId w:val="0"/>
        </w:numPr>
        <w:spacing w:beforeLines="0" w:afterLines="0" w:line="500" w:lineRule="exact"/>
        <w:jc w:val="left"/>
        <w:rPr>
          <w:rFonts w:ascii="仿宋_GB2312" w:hAnsi="宋体" w:eastAsia="仿宋_GB2312"/>
          <w:color w:val="000000"/>
          <w:kern w:val="2"/>
          <w:sz w:val="30"/>
          <w:szCs w:val="30"/>
        </w:rPr>
      </w:pPr>
      <w:r>
        <w:rPr>
          <w:rFonts w:hint="eastAsia" w:ascii="仿宋_GB2312" w:hAnsi="宋体" w:eastAsia="仿宋_GB2312"/>
          <w:color w:val="000000"/>
          <w:kern w:val="2"/>
          <w:sz w:val="30"/>
          <w:szCs w:val="30"/>
        </w:rPr>
        <w:t>干燥：将切制好的五指毛桃于40～50 ℃烘箱烘干，烘干时长为</w:t>
      </w:r>
      <w:r>
        <w:rPr>
          <w:rFonts w:ascii="仿宋_GB2312" w:hAnsi="宋体" w:eastAsia="仿宋_GB2312"/>
          <w:color w:val="000000"/>
          <w:kern w:val="2"/>
          <w:sz w:val="30"/>
          <w:szCs w:val="30"/>
        </w:rPr>
        <w:t>8</w:t>
      </w:r>
      <w:r>
        <w:rPr>
          <w:rFonts w:hint="eastAsia" w:ascii="仿宋_GB2312" w:hAnsi="宋体" w:eastAsia="仿宋_GB2312"/>
          <w:color w:val="000000"/>
          <w:kern w:val="2"/>
          <w:sz w:val="30"/>
          <w:szCs w:val="30"/>
        </w:rPr>
        <w:t>～</w:t>
      </w:r>
      <w:r>
        <w:rPr>
          <w:rFonts w:ascii="仿宋_GB2312" w:hAnsi="宋体" w:eastAsia="仿宋_GB2312"/>
          <w:color w:val="000000"/>
          <w:kern w:val="2"/>
          <w:sz w:val="30"/>
          <w:szCs w:val="30"/>
        </w:rPr>
        <w:t>15</w:t>
      </w:r>
      <w:r>
        <w:rPr>
          <w:rFonts w:hint="eastAsia" w:ascii="仿宋_GB2312" w:hAnsi="宋体" w:eastAsia="仿宋_GB2312"/>
          <w:color w:val="000000"/>
          <w:kern w:val="2"/>
          <w:sz w:val="30"/>
          <w:szCs w:val="30"/>
        </w:rPr>
        <w:t xml:space="preserve"> </w:t>
      </w:r>
      <w:r>
        <w:rPr>
          <w:rFonts w:ascii="仿宋_GB2312" w:hAnsi="宋体" w:eastAsia="仿宋_GB2312"/>
          <w:color w:val="000000"/>
          <w:kern w:val="2"/>
          <w:sz w:val="30"/>
          <w:szCs w:val="30"/>
        </w:rPr>
        <w:t>h</w:t>
      </w:r>
      <w:r>
        <w:rPr>
          <w:rFonts w:hint="eastAsia" w:ascii="仿宋_GB2312" w:hAnsi="宋体" w:eastAsia="仿宋_GB2312"/>
          <w:color w:val="000000"/>
          <w:kern w:val="2"/>
          <w:sz w:val="30"/>
          <w:szCs w:val="30"/>
        </w:rPr>
        <w:t>，含水率≤12%。</w:t>
      </w:r>
    </w:p>
    <w:p w14:paraId="782278C3">
      <w:pPr>
        <w:pStyle w:val="26"/>
        <w:numPr>
          <w:ilvl w:val="255"/>
          <w:numId w:val="0"/>
        </w:numPr>
        <w:spacing w:beforeLines="0" w:afterLines="0" w:line="500" w:lineRule="exact"/>
        <w:jc w:val="left"/>
        <w:rPr>
          <w:rFonts w:ascii="仿宋_GB2312" w:hAnsi="宋体" w:eastAsia="仿宋_GB2312"/>
          <w:color w:val="000000"/>
          <w:kern w:val="2"/>
          <w:sz w:val="30"/>
          <w:szCs w:val="30"/>
        </w:rPr>
      </w:pPr>
      <w:r>
        <w:rPr>
          <w:rFonts w:hint="eastAsia" w:ascii="仿宋_GB2312" w:hAnsi="宋体" w:eastAsia="仿宋_GB2312"/>
          <w:color w:val="000000"/>
          <w:kern w:val="2"/>
          <w:sz w:val="30"/>
          <w:szCs w:val="30"/>
        </w:rPr>
        <w:t>粉碎：将干燥好的五指毛桃片（段），粉碎成粗粉，能全部通过二号筛，但混有能通过四号筛不超过40%的粉末，备用。</w:t>
      </w:r>
    </w:p>
    <w:p w14:paraId="6B359278">
      <w:pPr>
        <w:pStyle w:val="26"/>
        <w:numPr>
          <w:ilvl w:val="255"/>
          <w:numId w:val="0"/>
        </w:numPr>
        <w:spacing w:beforeLines="0" w:afterLines="0" w:line="500" w:lineRule="exact"/>
        <w:ind w:firstLine="606" w:firstLineChars="200"/>
        <w:jc w:val="left"/>
        <w:rPr>
          <w:rFonts w:ascii="仿宋_GB2312" w:hAnsi="宋体" w:eastAsia="仿宋_GB2312"/>
          <w:color w:val="000000"/>
          <w:kern w:val="2"/>
          <w:sz w:val="30"/>
          <w:szCs w:val="30"/>
        </w:rPr>
      </w:pPr>
      <w:r>
        <w:rPr>
          <w:rFonts w:hint="eastAsia" w:ascii="仿宋_GB2312" w:hAnsi="宋体" w:eastAsia="仿宋_GB2312"/>
          <w:color w:val="000000"/>
          <w:kern w:val="2"/>
          <w:sz w:val="30"/>
          <w:szCs w:val="30"/>
        </w:rPr>
        <w:t>避光浸提：称取一定量的五指毛桃粗粉置于容器中，添加适量的基酒（调配酒精度20.0% vol～55.0% vol，五指毛桃/蒸馏酒比例量为</w:t>
      </w:r>
      <w:r>
        <w:rPr>
          <w:rFonts w:ascii="仿宋_GB2312" w:hAnsi="宋体" w:eastAsia="仿宋_GB2312"/>
          <w:color w:val="000000"/>
          <w:kern w:val="2"/>
          <w:sz w:val="30"/>
          <w:szCs w:val="30"/>
        </w:rPr>
        <w:t>10</w:t>
      </w:r>
      <w:r>
        <w:rPr>
          <w:rFonts w:hint="eastAsia" w:ascii="仿宋_GB2312" w:hAnsi="宋体" w:eastAsia="仿宋_GB2312"/>
          <w:color w:val="000000"/>
          <w:kern w:val="2"/>
          <w:sz w:val="30"/>
          <w:szCs w:val="30"/>
        </w:rPr>
        <w:t>～</w:t>
      </w:r>
      <w:r>
        <w:rPr>
          <w:rFonts w:ascii="仿宋_GB2312" w:hAnsi="宋体" w:eastAsia="仿宋_GB2312"/>
          <w:color w:val="000000"/>
          <w:kern w:val="2"/>
          <w:sz w:val="30"/>
          <w:szCs w:val="30"/>
        </w:rPr>
        <w:t>20 g/100 mL</w:t>
      </w:r>
      <w:r>
        <w:rPr>
          <w:rFonts w:hint="eastAsia" w:ascii="仿宋_GB2312" w:hAnsi="宋体" w:eastAsia="仿宋_GB2312"/>
          <w:color w:val="000000"/>
          <w:kern w:val="2"/>
          <w:sz w:val="30"/>
          <w:szCs w:val="30"/>
        </w:rPr>
        <w:t>），充分混匀，密封后储存于室温环境（20～25 ℃），避光浸提，保持环境恒温恒湿（湿度60%～80%）。浸提时间至少40天。</w:t>
      </w:r>
    </w:p>
    <w:p w14:paraId="69195B49">
      <w:pPr>
        <w:pStyle w:val="26"/>
        <w:numPr>
          <w:ilvl w:val="255"/>
          <w:numId w:val="0"/>
        </w:numPr>
        <w:spacing w:beforeLines="0" w:afterLines="0" w:line="500" w:lineRule="exact"/>
        <w:ind w:firstLine="606" w:firstLineChars="200"/>
        <w:jc w:val="left"/>
        <w:rPr>
          <w:rFonts w:ascii="仿宋_GB2312" w:hAnsi="宋体" w:eastAsia="仿宋_GB2312"/>
          <w:color w:val="000000"/>
          <w:kern w:val="2"/>
          <w:sz w:val="30"/>
          <w:szCs w:val="30"/>
        </w:rPr>
      </w:pPr>
      <w:r>
        <w:rPr>
          <w:rFonts w:hint="eastAsia" w:ascii="仿宋_GB2312" w:hAnsi="宋体" w:eastAsia="仿宋_GB2312"/>
          <w:color w:val="000000"/>
          <w:kern w:val="2"/>
          <w:sz w:val="30"/>
          <w:szCs w:val="30"/>
        </w:rPr>
        <w:t>澄清：室温浸提后添加适量澄清剂，静置澄清酒体，或让酒体自然澄清，取上清液。</w:t>
      </w:r>
    </w:p>
    <w:p w14:paraId="287CE3CB">
      <w:pPr>
        <w:pStyle w:val="26"/>
        <w:numPr>
          <w:ilvl w:val="255"/>
          <w:numId w:val="0"/>
        </w:numPr>
        <w:spacing w:beforeLines="0" w:afterLines="0" w:line="500" w:lineRule="exact"/>
        <w:ind w:firstLine="606" w:firstLineChars="200"/>
        <w:jc w:val="left"/>
        <w:rPr>
          <w:rFonts w:ascii="仿宋_GB2312" w:hAnsi="宋体" w:eastAsia="仿宋_GB2312"/>
          <w:color w:val="000000"/>
          <w:kern w:val="2"/>
          <w:sz w:val="30"/>
          <w:szCs w:val="30"/>
        </w:rPr>
      </w:pPr>
      <w:r>
        <w:rPr>
          <w:rFonts w:hint="eastAsia" w:ascii="仿宋_GB2312" w:hAnsi="宋体" w:eastAsia="仿宋_GB2312"/>
          <w:color w:val="000000"/>
          <w:kern w:val="2"/>
          <w:sz w:val="30"/>
          <w:szCs w:val="30"/>
        </w:rPr>
        <w:t>过滤/离心：澄清后使用膜过滤设备或使用离心设备进行过滤或离心操作，即得五指毛桃露酒原液。</w:t>
      </w:r>
    </w:p>
    <w:p w14:paraId="427A7C6A">
      <w:pPr>
        <w:pStyle w:val="26"/>
        <w:numPr>
          <w:ilvl w:val="2"/>
          <w:numId w:val="0"/>
        </w:numPr>
        <w:spacing w:beforeLines="0" w:afterLines="0" w:line="500" w:lineRule="exact"/>
        <w:ind w:firstLine="606" w:firstLineChars="200"/>
        <w:jc w:val="left"/>
        <w:rPr>
          <w:rFonts w:hint="eastAsia" w:ascii="仿宋_GB2312" w:hAnsi="宋体" w:eastAsia="仿宋_GB2312"/>
          <w:color w:val="000000"/>
          <w:kern w:val="2"/>
          <w:sz w:val="30"/>
          <w:szCs w:val="30"/>
        </w:rPr>
      </w:pPr>
      <w:r>
        <w:rPr>
          <w:rFonts w:hint="eastAsia" w:ascii="仿宋_GB2312" w:hAnsi="宋体" w:eastAsia="仿宋_GB2312"/>
          <w:color w:val="000000"/>
          <w:kern w:val="2"/>
          <w:sz w:val="30"/>
          <w:szCs w:val="30"/>
        </w:rPr>
        <w:t>杀菌及灌装：灌装后即得成品。</w:t>
      </w:r>
    </w:p>
    <w:p w14:paraId="45FF28BA">
      <w:pPr>
        <w:pStyle w:val="4"/>
      </w:pPr>
      <w:r>
        <w:rPr>
          <w:rFonts w:hint="eastAsia"/>
        </w:rPr>
        <w:t>1.3.2五指毛桃露酒酒精度的确定</w:t>
      </w:r>
    </w:p>
    <w:p w14:paraId="67F22F36">
      <w:pPr>
        <w:pStyle w:val="26"/>
        <w:numPr>
          <w:ilvl w:val="255"/>
          <w:numId w:val="0"/>
        </w:numPr>
        <w:spacing w:before="0" w:beforeLines="0" w:after="0" w:afterLines="0" w:line="500" w:lineRule="exact"/>
        <w:ind w:firstLine="606" w:firstLineChars="200"/>
        <w:jc w:val="left"/>
        <w:rPr>
          <w:rFonts w:hint="eastAsia" w:ascii="仿宋_GB2312" w:hAnsi="宋体" w:eastAsia="仿宋_GB2312"/>
          <w:color w:val="000000"/>
          <w:kern w:val="2"/>
          <w:sz w:val="30"/>
          <w:szCs w:val="30"/>
        </w:rPr>
      </w:pPr>
      <w:r>
        <w:rPr>
          <w:rFonts w:hint="eastAsia" w:ascii="仿宋_GB2312" w:hAnsi="宋体" w:eastAsia="仿宋_GB2312"/>
          <w:color w:val="000000"/>
          <w:kern w:val="2"/>
          <w:sz w:val="30"/>
          <w:szCs w:val="30"/>
        </w:rPr>
        <w:t>现行标准GB/T 27588-2011《露酒》规定了酒精度（20℃）为4.0~60.0%vol，所以，五指毛桃露酒的酒精度范围首先需要落在这个区间内。</w:t>
      </w:r>
    </w:p>
    <w:p w14:paraId="16497592">
      <w:pPr>
        <w:pStyle w:val="26"/>
        <w:numPr>
          <w:ilvl w:val="255"/>
          <w:numId w:val="0"/>
        </w:numPr>
        <w:spacing w:before="0" w:beforeLines="0" w:after="0" w:afterLines="0" w:line="500" w:lineRule="exact"/>
        <w:ind w:firstLine="606" w:firstLineChars="200"/>
        <w:jc w:val="left"/>
        <w:rPr>
          <w:rFonts w:hint="eastAsia" w:ascii="仿宋_GB2312" w:hAnsi="宋体" w:eastAsia="仿宋_GB2312"/>
          <w:color w:val="000000"/>
          <w:kern w:val="2"/>
          <w:sz w:val="30"/>
          <w:szCs w:val="30"/>
        </w:rPr>
      </w:pPr>
      <w:r>
        <w:rPr>
          <w:rFonts w:hint="eastAsia" w:ascii="仿宋_GB2312" w:hAnsi="宋体" w:eastAsia="仿宋_GB2312"/>
          <w:color w:val="000000"/>
          <w:kern w:val="2"/>
          <w:sz w:val="30"/>
          <w:szCs w:val="30"/>
        </w:rPr>
        <w:t>国家《食品标识管理规定》明确指出，酒精度数大于等于10%vol(即10度)的饮料酒可以免除标注保质期。这构成了一个权威的“安全线”，因为当酒精浓度达到这个水平时，其环境能够有效抑制大多数细菌、霉菌等微生物的生长繁殖，具备了天然的防腐抑菌能力。但这并不意味着10度以上的酒就永远不会变质，尤其是低度酒。实际上，从长期保存的角度看，高度酒(通常指50%vol以上)因其酒精含量高、酒体化学性质更稳定，远比低度酒(通常指40%vol以下)更耐储存。</w:t>
      </w:r>
    </w:p>
    <w:p w14:paraId="3D666961">
      <w:pPr>
        <w:pStyle w:val="26"/>
        <w:numPr>
          <w:ilvl w:val="255"/>
          <w:numId w:val="0"/>
        </w:numPr>
        <w:spacing w:beforeLines="0" w:afterLines="0" w:line="500" w:lineRule="exact"/>
        <w:ind w:firstLine="606" w:firstLineChars="200"/>
        <w:jc w:val="left"/>
        <w:rPr>
          <w:rFonts w:hint="eastAsia" w:ascii="仿宋_GB2312" w:hAnsi="宋体" w:eastAsia="仿宋_GB2312"/>
          <w:color w:val="000000"/>
          <w:kern w:val="2"/>
          <w:sz w:val="30"/>
          <w:szCs w:val="30"/>
        </w:rPr>
      </w:pPr>
      <w:r>
        <w:rPr>
          <w:rFonts w:hint="eastAsia" w:ascii="仿宋_GB2312" w:hAnsi="宋体" w:eastAsia="仿宋_GB2312"/>
          <w:color w:val="000000"/>
          <w:kern w:val="2"/>
          <w:sz w:val="30"/>
          <w:szCs w:val="30"/>
        </w:rPr>
        <w:t>理论抑菌下限</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：酒精度</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w:t>
      </w:r>
      <w:r>
        <w:rPr>
          <w:rFonts w:ascii="仿宋_GB2312" w:hAnsi="宋体" w:eastAsia="仿宋_GB2312"/>
          <w:color w:val="000000"/>
          <w:kern w:val="2"/>
          <w:sz w:val="30"/>
          <w:szCs w:val="30"/>
        </w:rPr>
        <w:t>20%vol</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且</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糖度较低</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时，微生物自然繁殖受显著抑制，具备一定自防腐能力，但</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不等于无菌</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或无需工艺控制</w:t>
      </w:r>
      <w:r>
        <w:rPr>
          <w:rFonts w:ascii="仿宋_GB2312" w:hAnsi="宋体" w:eastAsia="仿宋_GB2312"/>
          <w:color w:val="000000"/>
          <w:kern w:val="2"/>
          <w:sz w:val="30"/>
          <w:szCs w:val="30"/>
        </w:rPr>
        <w:t xml:space="preserve"> </w:t>
      </w:r>
      <w:r>
        <w:rPr>
          <w:rFonts w:hint="eastAsia" w:ascii="仿宋_GB2312" w:hAnsi="宋体" w:eastAsia="仿宋_GB2312"/>
          <w:color w:val="000000"/>
          <w:kern w:val="2"/>
          <w:sz w:val="30"/>
          <w:szCs w:val="30"/>
        </w:rPr>
        <w:t>；高风险区间</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：酒精度</w:t>
      </w:r>
      <w:r>
        <w:rPr>
          <w:rFonts w:hint="eastAsia" w:ascii="仿宋_GB2312" w:hAnsi="宋体" w:eastAsia="仿宋_GB2312" w:cs="Times New Roman"/>
          <w:color w:val="000000"/>
          <w:kern w:val="2"/>
          <w:sz w:val="30"/>
          <w:szCs w:val="30"/>
        </w:rPr>
        <w:t>‌</w:t>
      </w:r>
      <w:r>
        <w:rPr>
          <w:rFonts w:ascii="仿宋_GB2312" w:hAnsi="宋体" w:eastAsia="仿宋_GB2312"/>
          <w:color w:val="000000"/>
          <w:kern w:val="2"/>
          <w:sz w:val="30"/>
          <w:szCs w:val="30"/>
        </w:rPr>
        <w:t>&lt;20%vol</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或</w:t>
      </w:r>
      <w:r>
        <w:rPr>
          <w:rFonts w:hint="eastAsia" w:ascii="仿宋_GB2312" w:hAnsi="宋体" w:eastAsia="仿宋_GB2312" w:cs="Times New Roman"/>
          <w:color w:val="000000"/>
          <w:kern w:val="2"/>
          <w:sz w:val="30"/>
          <w:szCs w:val="30"/>
        </w:rPr>
        <w:t>‌</w:t>
      </w:r>
      <w:r>
        <w:rPr>
          <w:rFonts w:hint="eastAsia" w:ascii="仿宋_GB2312" w:hAnsi="宋体" w:eastAsia="仿宋_GB2312"/>
          <w:color w:val="000000"/>
          <w:kern w:val="2"/>
          <w:sz w:val="30"/>
          <w:szCs w:val="30"/>
        </w:rPr>
        <w:t>高糖（如</w:t>
      </w:r>
      <w:r>
        <w:rPr>
          <w:rFonts w:ascii="仿宋_GB2312" w:hAnsi="宋体" w:eastAsia="仿宋_GB2312"/>
          <w:color w:val="000000"/>
          <w:kern w:val="2"/>
          <w:sz w:val="30"/>
          <w:szCs w:val="30"/>
        </w:rPr>
        <w:t>&gt;10%</w:t>
      </w:r>
      <w:r>
        <w:rPr>
          <w:rFonts w:hint="eastAsia" w:ascii="仿宋_GB2312" w:hAnsi="宋体" w:eastAsia="仿宋_GB2312"/>
          <w:color w:val="000000"/>
          <w:kern w:val="2"/>
          <w:sz w:val="30"/>
          <w:szCs w:val="30"/>
        </w:rPr>
        <w:t>）</w:t>
      </w:r>
      <w:r>
        <w:rPr>
          <w:rFonts w:hint="eastAsia" w:ascii="仿宋_GB2312" w:hAnsi="宋体" w:eastAsia="仿宋_GB2312" w:cs="Times New Roman"/>
          <w:color w:val="000000"/>
          <w:kern w:val="2"/>
          <w:sz w:val="30"/>
          <w:szCs w:val="30"/>
        </w:rPr>
        <w:t>‌</w:t>
      </w:r>
      <w:r>
        <w:rPr>
          <w:rFonts w:ascii="仿宋_GB2312" w:hAnsi="宋体" w:eastAsia="仿宋_GB2312"/>
          <w:color w:val="000000"/>
          <w:kern w:val="2"/>
          <w:sz w:val="30"/>
          <w:szCs w:val="30"/>
        </w:rPr>
        <w:t xml:space="preserve"> </w:t>
      </w:r>
      <w:r>
        <w:rPr>
          <w:rFonts w:hint="eastAsia" w:ascii="仿宋_GB2312" w:hAnsi="宋体" w:eastAsia="仿宋_GB2312"/>
          <w:color w:val="000000"/>
          <w:kern w:val="2"/>
          <w:sz w:val="30"/>
          <w:szCs w:val="30"/>
        </w:rPr>
        <w:t>露酒极易腐败，必须强制除菌（过滤或巴氏杀菌）；高酒精度（如&gt;50%vol）虽微生物风险极低，为保酒体稳定通常仍建议过滤膜处理。</w:t>
      </w:r>
    </w:p>
    <w:p w14:paraId="2904A227">
      <w:pPr>
        <w:pStyle w:val="4"/>
        <w:rPr>
          <w:rFonts w:hint="eastAsia" w:ascii="仿宋_GB2312" w:hAnsi="宋体" w:eastAsia="仿宋_GB2312"/>
          <w:color w:val="000000"/>
          <w:kern w:val="2"/>
          <w:sz w:val="30"/>
          <w:szCs w:val="30"/>
        </w:rPr>
      </w:pPr>
      <w:r>
        <w:rPr>
          <w:rFonts w:hint="eastAsia" w:ascii="仿宋_GB2312" w:hAnsi="宋体" w:eastAsia="仿宋_GB2312"/>
          <w:color w:val="000000"/>
          <w:kern w:val="2"/>
          <w:sz w:val="30"/>
          <w:szCs w:val="30"/>
        </w:rPr>
        <w:t>鉴于该露酒生产技术规程是一个规范性指导的标准，酒精度的确定是一个区间范围，这样才利于企业的参考与执行。低于20% vol不利于防腐，且微生物繁殖的概率增大，超高度酒经过露酒浸提工艺，酒精度会稍有下降，故将酒精度范围定在了20%-55% vol这个区间。</w:t>
      </w:r>
    </w:p>
    <w:p w14:paraId="011D756D">
      <w:pPr>
        <w:pStyle w:val="4"/>
      </w:pPr>
      <w:r>
        <w:rPr>
          <w:rFonts w:hint="eastAsia"/>
        </w:rPr>
        <w:t>1.3.3五指毛桃露酒加工工艺单因素实验</w:t>
      </w:r>
    </w:p>
    <w:p w14:paraId="0DB79FCE">
      <w:pPr>
        <w:pStyle w:val="26"/>
        <w:numPr>
          <w:ilvl w:val="255"/>
          <w:numId w:val="0"/>
        </w:numPr>
        <w:spacing w:beforeLines="0" w:afterLines="0" w:line="500" w:lineRule="exact"/>
        <w:ind w:firstLine="606" w:firstLineChars="200"/>
        <w:jc w:val="left"/>
        <w:rPr>
          <w:rFonts w:ascii="仿宋_GB2312" w:hAnsi="宋体" w:eastAsia="仿宋_GB2312"/>
          <w:color w:val="000000"/>
          <w:kern w:val="2"/>
          <w:sz w:val="30"/>
          <w:szCs w:val="30"/>
        </w:rPr>
      </w:pPr>
      <w:r>
        <w:rPr>
          <w:rFonts w:hint="eastAsia" w:ascii="仿宋_GB2312" w:hAnsi="宋体" w:eastAsia="仿宋_GB2312"/>
          <w:color w:val="000000"/>
          <w:kern w:val="2"/>
          <w:sz w:val="30"/>
          <w:szCs w:val="30"/>
        </w:rPr>
        <w:t>以五指毛桃烘烤温度60℃、五指毛桃添加量12 g/100 mL、浸提时间30 d为初始条件，分别考查五指毛桃烘烤温度（40 ℃、50 ℃、60 ℃、70 ℃）、五指毛桃添加量（4 g/100 mL、8 g/100 mL、12 g/100 mL、16 g/100 mL）、浸提时间（10 d、20 d、30 d、40 d）对五指毛桃露酒抗氧化活性及感官评价的影响。</w:t>
      </w:r>
    </w:p>
    <w:p w14:paraId="0E34368D">
      <w:pPr>
        <w:jc w:val="center"/>
        <w:rPr>
          <w:sz w:val="24"/>
        </w:rPr>
      </w:pPr>
      <w:r>
        <w:rPr>
          <w:rFonts w:hint="eastAsia"/>
          <w:sz w:val="24"/>
        </w:rPr>
        <w:t>表4 实验处理表</w:t>
      </w:r>
    </w:p>
    <w:p w14:paraId="6A1082E6">
      <w:pPr>
        <w:jc w:val="center"/>
        <w:rPr>
          <w:sz w:val="24"/>
        </w:rPr>
      </w:pPr>
      <w:r>
        <w:rPr>
          <w:sz w:val="24"/>
        </w:rPr>
        <w:t xml:space="preserve">Table </w:t>
      </w:r>
      <w:r>
        <w:rPr>
          <w:rFonts w:hint="eastAsia"/>
          <w:sz w:val="24"/>
        </w:rPr>
        <w:t>1-3</w:t>
      </w:r>
      <w:r>
        <w:rPr>
          <w:sz w:val="24"/>
        </w:rPr>
        <w:t xml:space="preserve"> Experimental Treatment Table</w:t>
      </w:r>
    </w:p>
    <w:tbl>
      <w:tblPr>
        <w:tblStyle w:val="13"/>
        <w:tblW w:w="8335"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1"/>
        <w:gridCol w:w="2268"/>
        <w:gridCol w:w="2438"/>
        <w:gridCol w:w="2268"/>
      </w:tblGrid>
      <w:tr w14:paraId="4E17ED9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blHeader/>
          <w:jc w:val="center"/>
        </w:trPr>
        <w:tc>
          <w:tcPr>
            <w:tcW w:w="1361" w:type="dxa"/>
            <w:tcBorders>
              <w:top w:val="single" w:color="auto" w:sz="12" w:space="0"/>
              <w:bottom w:val="single" w:color="auto" w:sz="8" w:space="0"/>
            </w:tcBorders>
            <w:vAlign w:val="center"/>
          </w:tcPr>
          <w:p w14:paraId="18B5F89F">
            <w:pPr>
              <w:keepNext/>
              <w:keepLines/>
              <w:jc w:val="center"/>
            </w:pPr>
            <w:r>
              <w:rPr>
                <w:rFonts w:hint="eastAsia"/>
              </w:rPr>
              <w:t>编号</w:t>
            </w:r>
          </w:p>
        </w:tc>
        <w:tc>
          <w:tcPr>
            <w:tcW w:w="2268" w:type="dxa"/>
            <w:tcBorders>
              <w:top w:val="single" w:color="auto" w:sz="12" w:space="0"/>
              <w:bottom w:val="single" w:color="auto" w:sz="8" w:space="0"/>
            </w:tcBorders>
            <w:vAlign w:val="center"/>
          </w:tcPr>
          <w:p w14:paraId="52213299">
            <w:pPr>
              <w:keepNext/>
              <w:keepLines/>
              <w:jc w:val="center"/>
            </w:pPr>
            <w:r>
              <w:rPr>
                <w:rFonts w:hint="eastAsia"/>
              </w:rPr>
              <w:t>烘烤温度/℃</w:t>
            </w:r>
          </w:p>
        </w:tc>
        <w:tc>
          <w:tcPr>
            <w:tcW w:w="2438" w:type="dxa"/>
            <w:tcBorders>
              <w:top w:val="single" w:color="auto" w:sz="12" w:space="0"/>
              <w:bottom w:val="single" w:color="auto" w:sz="8" w:space="0"/>
            </w:tcBorders>
            <w:vAlign w:val="center"/>
          </w:tcPr>
          <w:p w14:paraId="326DD331">
            <w:pPr>
              <w:keepNext/>
              <w:keepLines/>
              <w:jc w:val="center"/>
            </w:pPr>
            <w:r>
              <w:rPr>
                <w:rFonts w:hint="eastAsia"/>
              </w:rPr>
              <w:t>五指毛桃添加量/%</w:t>
            </w:r>
          </w:p>
        </w:tc>
        <w:tc>
          <w:tcPr>
            <w:tcW w:w="2268" w:type="dxa"/>
            <w:tcBorders>
              <w:top w:val="single" w:color="auto" w:sz="12" w:space="0"/>
              <w:bottom w:val="single" w:color="auto" w:sz="8" w:space="0"/>
            </w:tcBorders>
            <w:vAlign w:val="center"/>
          </w:tcPr>
          <w:p w14:paraId="7CE8F3DE">
            <w:pPr>
              <w:keepNext/>
              <w:keepLines/>
              <w:jc w:val="center"/>
            </w:pPr>
            <w:r>
              <w:rPr>
                <w:rFonts w:hint="eastAsia"/>
              </w:rPr>
              <w:t>样品量 mL</w:t>
            </w:r>
          </w:p>
        </w:tc>
      </w:tr>
      <w:tr w14:paraId="0E08A4C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1361" w:type="dxa"/>
            <w:tcBorders>
              <w:top w:val="single" w:color="auto" w:sz="8" w:space="0"/>
            </w:tcBorders>
          </w:tcPr>
          <w:p w14:paraId="1F349360">
            <w:pPr>
              <w:keepNext/>
              <w:keepLines/>
              <w:jc w:val="center"/>
            </w:pPr>
            <w:r>
              <w:rPr>
                <w:rFonts w:hint="eastAsia"/>
              </w:rPr>
              <w:t>1-1</w:t>
            </w:r>
          </w:p>
        </w:tc>
        <w:tc>
          <w:tcPr>
            <w:tcW w:w="2268" w:type="dxa"/>
            <w:tcBorders>
              <w:top w:val="single" w:color="auto" w:sz="8" w:space="0"/>
            </w:tcBorders>
          </w:tcPr>
          <w:p w14:paraId="6D3CC188">
            <w:pPr>
              <w:keepNext/>
              <w:keepLines/>
              <w:jc w:val="center"/>
            </w:pPr>
            <w:r>
              <w:rPr>
                <w:rFonts w:hint="eastAsia"/>
              </w:rPr>
              <w:t>40</w:t>
            </w:r>
          </w:p>
        </w:tc>
        <w:tc>
          <w:tcPr>
            <w:tcW w:w="2438" w:type="dxa"/>
            <w:tcBorders>
              <w:top w:val="single" w:color="auto" w:sz="8" w:space="0"/>
            </w:tcBorders>
          </w:tcPr>
          <w:p w14:paraId="788720E9">
            <w:pPr>
              <w:keepNext/>
              <w:keepLines/>
              <w:jc w:val="center"/>
            </w:pPr>
            <w:r>
              <w:rPr>
                <w:rFonts w:hint="eastAsia"/>
              </w:rPr>
              <w:t>4</w:t>
            </w:r>
          </w:p>
        </w:tc>
        <w:tc>
          <w:tcPr>
            <w:tcW w:w="2268" w:type="dxa"/>
            <w:tcBorders>
              <w:top w:val="single" w:color="auto" w:sz="8" w:space="0"/>
            </w:tcBorders>
          </w:tcPr>
          <w:p w14:paraId="76BB9213">
            <w:pPr>
              <w:keepNext/>
              <w:keepLines/>
              <w:jc w:val="center"/>
            </w:pPr>
            <w:r>
              <w:rPr>
                <w:rFonts w:hint="eastAsia"/>
              </w:rPr>
              <w:t>400*2</w:t>
            </w:r>
          </w:p>
        </w:tc>
      </w:tr>
      <w:tr w14:paraId="7316387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36C488A8">
            <w:pPr>
              <w:keepNext/>
              <w:keepLines/>
              <w:jc w:val="center"/>
            </w:pPr>
            <w:r>
              <w:rPr>
                <w:rFonts w:hint="eastAsia"/>
              </w:rPr>
              <w:t>1-2</w:t>
            </w:r>
          </w:p>
        </w:tc>
        <w:tc>
          <w:tcPr>
            <w:tcW w:w="2268" w:type="dxa"/>
          </w:tcPr>
          <w:p w14:paraId="66E26DAC">
            <w:pPr>
              <w:keepNext/>
              <w:keepLines/>
              <w:jc w:val="center"/>
            </w:pPr>
            <w:r>
              <w:rPr>
                <w:rFonts w:hint="eastAsia"/>
              </w:rPr>
              <w:t>40</w:t>
            </w:r>
          </w:p>
        </w:tc>
        <w:tc>
          <w:tcPr>
            <w:tcW w:w="2438" w:type="dxa"/>
          </w:tcPr>
          <w:p w14:paraId="31EF52F9">
            <w:pPr>
              <w:keepNext/>
              <w:keepLines/>
              <w:jc w:val="center"/>
            </w:pPr>
            <w:r>
              <w:rPr>
                <w:rFonts w:hint="eastAsia"/>
              </w:rPr>
              <w:t>8</w:t>
            </w:r>
          </w:p>
        </w:tc>
        <w:tc>
          <w:tcPr>
            <w:tcW w:w="2268" w:type="dxa"/>
          </w:tcPr>
          <w:p w14:paraId="4C462758">
            <w:pPr>
              <w:keepNext/>
              <w:keepLines/>
              <w:jc w:val="center"/>
            </w:pPr>
            <w:r>
              <w:rPr>
                <w:rFonts w:hint="eastAsia"/>
              </w:rPr>
              <w:t>400*2</w:t>
            </w:r>
          </w:p>
        </w:tc>
      </w:tr>
      <w:tr w14:paraId="5772CD9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2013C8F8">
            <w:pPr>
              <w:keepNext/>
              <w:keepLines/>
              <w:jc w:val="center"/>
            </w:pPr>
            <w:r>
              <w:rPr>
                <w:rFonts w:hint="eastAsia"/>
              </w:rPr>
              <w:t>1-3</w:t>
            </w:r>
          </w:p>
        </w:tc>
        <w:tc>
          <w:tcPr>
            <w:tcW w:w="2268" w:type="dxa"/>
          </w:tcPr>
          <w:p w14:paraId="23566ABF">
            <w:pPr>
              <w:keepNext/>
              <w:keepLines/>
              <w:jc w:val="center"/>
            </w:pPr>
            <w:r>
              <w:rPr>
                <w:rFonts w:hint="eastAsia"/>
              </w:rPr>
              <w:t>40</w:t>
            </w:r>
          </w:p>
        </w:tc>
        <w:tc>
          <w:tcPr>
            <w:tcW w:w="2438" w:type="dxa"/>
          </w:tcPr>
          <w:p w14:paraId="04F79A63">
            <w:pPr>
              <w:keepNext/>
              <w:keepLines/>
              <w:jc w:val="center"/>
            </w:pPr>
            <w:r>
              <w:rPr>
                <w:rFonts w:hint="eastAsia"/>
              </w:rPr>
              <w:t>12</w:t>
            </w:r>
          </w:p>
        </w:tc>
        <w:tc>
          <w:tcPr>
            <w:tcW w:w="2268" w:type="dxa"/>
          </w:tcPr>
          <w:p w14:paraId="396D2A6A">
            <w:pPr>
              <w:keepNext/>
              <w:keepLines/>
              <w:jc w:val="center"/>
            </w:pPr>
            <w:r>
              <w:rPr>
                <w:rFonts w:hint="eastAsia"/>
              </w:rPr>
              <w:t>400*2</w:t>
            </w:r>
          </w:p>
        </w:tc>
      </w:tr>
      <w:tr w14:paraId="0A8DD82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7321E1BB">
            <w:pPr>
              <w:keepNext/>
              <w:keepLines/>
              <w:jc w:val="center"/>
            </w:pPr>
            <w:r>
              <w:rPr>
                <w:rFonts w:hint="eastAsia"/>
              </w:rPr>
              <w:t>1-4</w:t>
            </w:r>
          </w:p>
        </w:tc>
        <w:tc>
          <w:tcPr>
            <w:tcW w:w="2268" w:type="dxa"/>
          </w:tcPr>
          <w:p w14:paraId="6F13D28F">
            <w:pPr>
              <w:keepNext/>
              <w:keepLines/>
              <w:jc w:val="center"/>
            </w:pPr>
            <w:r>
              <w:rPr>
                <w:rFonts w:hint="eastAsia"/>
              </w:rPr>
              <w:t>40</w:t>
            </w:r>
          </w:p>
        </w:tc>
        <w:tc>
          <w:tcPr>
            <w:tcW w:w="2438" w:type="dxa"/>
          </w:tcPr>
          <w:p w14:paraId="2CA5FDB0">
            <w:pPr>
              <w:keepNext/>
              <w:keepLines/>
              <w:jc w:val="center"/>
            </w:pPr>
            <w:r>
              <w:rPr>
                <w:rFonts w:hint="eastAsia"/>
              </w:rPr>
              <w:t>16</w:t>
            </w:r>
          </w:p>
        </w:tc>
        <w:tc>
          <w:tcPr>
            <w:tcW w:w="2268" w:type="dxa"/>
          </w:tcPr>
          <w:p w14:paraId="03C81354">
            <w:pPr>
              <w:keepNext/>
              <w:keepLines/>
              <w:jc w:val="center"/>
            </w:pPr>
            <w:r>
              <w:rPr>
                <w:rFonts w:hint="eastAsia"/>
              </w:rPr>
              <w:t>400*2</w:t>
            </w:r>
          </w:p>
        </w:tc>
      </w:tr>
      <w:tr w14:paraId="621482A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4DB72171">
            <w:pPr>
              <w:keepNext/>
              <w:keepLines/>
              <w:jc w:val="center"/>
            </w:pPr>
            <w:r>
              <w:rPr>
                <w:rFonts w:hint="eastAsia"/>
              </w:rPr>
              <w:t>2-1</w:t>
            </w:r>
          </w:p>
        </w:tc>
        <w:tc>
          <w:tcPr>
            <w:tcW w:w="2268" w:type="dxa"/>
          </w:tcPr>
          <w:p w14:paraId="142791D2">
            <w:pPr>
              <w:keepNext/>
              <w:keepLines/>
              <w:jc w:val="center"/>
            </w:pPr>
            <w:r>
              <w:rPr>
                <w:rFonts w:hint="eastAsia"/>
              </w:rPr>
              <w:t>50</w:t>
            </w:r>
          </w:p>
        </w:tc>
        <w:tc>
          <w:tcPr>
            <w:tcW w:w="2438" w:type="dxa"/>
          </w:tcPr>
          <w:p w14:paraId="78DFF2CF">
            <w:pPr>
              <w:keepNext/>
              <w:keepLines/>
              <w:jc w:val="center"/>
            </w:pPr>
            <w:r>
              <w:rPr>
                <w:rFonts w:hint="eastAsia"/>
              </w:rPr>
              <w:t>4</w:t>
            </w:r>
          </w:p>
        </w:tc>
        <w:tc>
          <w:tcPr>
            <w:tcW w:w="2268" w:type="dxa"/>
          </w:tcPr>
          <w:p w14:paraId="0675EC43">
            <w:pPr>
              <w:keepNext/>
              <w:keepLines/>
              <w:jc w:val="center"/>
            </w:pPr>
            <w:r>
              <w:rPr>
                <w:rFonts w:hint="eastAsia"/>
              </w:rPr>
              <w:t>400*2</w:t>
            </w:r>
          </w:p>
        </w:tc>
      </w:tr>
      <w:tr w14:paraId="760A7E6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389AEC20">
            <w:pPr>
              <w:keepNext/>
              <w:keepLines/>
              <w:jc w:val="center"/>
            </w:pPr>
            <w:r>
              <w:rPr>
                <w:rFonts w:hint="eastAsia"/>
              </w:rPr>
              <w:t>2-2</w:t>
            </w:r>
          </w:p>
        </w:tc>
        <w:tc>
          <w:tcPr>
            <w:tcW w:w="2268" w:type="dxa"/>
          </w:tcPr>
          <w:p w14:paraId="6DF9B456">
            <w:pPr>
              <w:keepNext/>
              <w:keepLines/>
              <w:jc w:val="center"/>
            </w:pPr>
            <w:r>
              <w:rPr>
                <w:rFonts w:hint="eastAsia"/>
              </w:rPr>
              <w:t>50</w:t>
            </w:r>
          </w:p>
        </w:tc>
        <w:tc>
          <w:tcPr>
            <w:tcW w:w="2438" w:type="dxa"/>
          </w:tcPr>
          <w:p w14:paraId="3D51A834">
            <w:pPr>
              <w:keepNext/>
              <w:keepLines/>
              <w:jc w:val="center"/>
            </w:pPr>
            <w:r>
              <w:rPr>
                <w:rFonts w:hint="eastAsia"/>
              </w:rPr>
              <w:t>8</w:t>
            </w:r>
          </w:p>
        </w:tc>
        <w:tc>
          <w:tcPr>
            <w:tcW w:w="2268" w:type="dxa"/>
          </w:tcPr>
          <w:p w14:paraId="46CA62FE">
            <w:pPr>
              <w:keepNext/>
              <w:keepLines/>
              <w:jc w:val="center"/>
            </w:pPr>
            <w:r>
              <w:rPr>
                <w:rFonts w:hint="eastAsia"/>
              </w:rPr>
              <w:t>400*2</w:t>
            </w:r>
          </w:p>
        </w:tc>
      </w:tr>
      <w:tr w14:paraId="7719F59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77827A1C">
            <w:pPr>
              <w:keepNext/>
              <w:keepLines/>
              <w:jc w:val="center"/>
            </w:pPr>
            <w:r>
              <w:rPr>
                <w:rFonts w:hint="eastAsia"/>
              </w:rPr>
              <w:t>2-3</w:t>
            </w:r>
          </w:p>
        </w:tc>
        <w:tc>
          <w:tcPr>
            <w:tcW w:w="2268" w:type="dxa"/>
          </w:tcPr>
          <w:p w14:paraId="03C17334">
            <w:pPr>
              <w:keepNext/>
              <w:keepLines/>
              <w:jc w:val="center"/>
            </w:pPr>
            <w:r>
              <w:rPr>
                <w:rFonts w:hint="eastAsia"/>
              </w:rPr>
              <w:t>50</w:t>
            </w:r>
          </w:p>
        </w:tc>
        <w:tc>
          <w:tcPr>
            <w:tcW w:w="2438" w:type="dxa"/>
          </w:tcPr>
          <w:p w14:paraId="01F87F1C">
            <w:pPr>
              <w:keepNext/>
              <w:keepLines/>
              <w:jc w:val="center"/>
            </w:pPr>
            <w:r>
              <w:rPr>
                <w:rFonts w:hint="eastAsia"/>
              </w:rPr>
              <w:t>12</w:t>
            </w:r>
          </w:p>
        </w:tc>
        <w:tc>
          <w:tcPr>
            <w:tcW w:w="2268" w:type="dxa"/>
          </w:tcPr>
          <w:p w14:paraId="1E13C05A">
            <w:pPr>
              <w:keepNext/>
              <w:keepLines/>
              <w:jc w:val="center"/>
            </w:pPr>
            <w:r>
              <w:rPr>
                <w:rFonts w:hint="eastAsia"/>
              </w:rPr>
              <w:t>400*2</w:t>
            </w:r>
          </w:p>
        </w:tc>
      </w:tr>
      <w:tr w14:paraId="70E34E1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5C7AE964">
            <w:pPr>
              <w:keepNext/>
              <w:keepLines/>
              <w:jc w:val="center"/>
            </w:pPr>
            <w:r>
              <w:rPr>
                <w:rFonts w:hint="eastAsia"/>
              </w:rPr>
              <w:t>2-4</w:t>
            </w:r>
          </w:p>
        </w:tc>
        <w:tc>
          <w:tcPr>
            <w:tcW w:w="2268" w:type="dxa"/>
          </w:tcPr>
          <w:p w14:paraId="169D8E73">
            <w:pPr>
              <w:keepNext/>
              <w:keepLines/>
              <w:jc w:val="center"/>
            </w:pPr>
            <w:r>
              <w:rPr>
                <w:rFonts w:hint="eastAsia"/>
              </w:rPr>
              <w:t>50</w:t>
            </w:r>
          </w:p>
        </w:tc>
        <w:tc>
          <w:tcPr>
            <w:tcW w:w="2438" w:type="dxa"/>
          </w:tcPr>
          <w:p w14:paraId="342F9210">
            <w:pPr>
              <w:keepNext/>
              <w:keepLines/>
              <w:jc w:val="center"/>
            </w:pPr>
            <w:r>
              <w:rPr>
                <w:rFonts w:hint="eastAsia"/>
              </w:rPr>
              <w:t>16</w:t>
            </w:r>
          </w:p>
        </w:tc>
        <w:tc>
          <w:tcPr>
            <w:tcW w:w="2268" w:type="dxa"/>
          </w:tcPr>
          <w:p w14:paraId="70B31270">
            <w:pPr>
              <w:keepNext/>
              <w:keepLines/>
              <w:jc w:val="center"/>
            </w:pPr>
            <w:r>
              <w:rPr>
                <w:rFonts w:hint="eastAsia"/>
              </w:rPr>
              <w:t>400*2</w:t>
            </w:r>
          </w:p>
        </w:tc>
      </w:tr>
      <w:tr w14:paraId="108BFFB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4454961B">
            <w:pPr>
              <w:keepNext/>
              <w:keepLines/>
              <w:jc w:val="center"/>
            </w:pPr>
            <w:r>
              <w:rPr>
                <w:rFonts w:hint="eastAsia"/>
              </w:rPr>
              <w:t>1-1</w:t>
            </w:r>
          </w:p>
        </w:tc>
        <w:tc>
          <w:tcPr>
            <w:tcW w:w="2268" w:type="dxa"/>
          </w:tcPr>
          <w:p w14:paraId="7BE7F248">
            <w:pPr>
              <w:keepNext/>
              <w:keepLines/>
              <w:jc w:val="center"/>
            </w:pPr>
            <w:r>
              <w:rPr>
                <w:rFonts w:hint="eastAsia"/>
              </w:rPr>
              <w:t>60</w:t>
            </w:r>
          </w:p>
        </w:tc>
        <w:tc>
          <w:tcPr>
            <w:tcW w:w="2438" w:type="dxa"/>
          </w:tcPr>
          <w:p w14:paraId="0BB37A53">
            <w:pPr>
              <w:keepNext/>
              <w:keepLines/>
              <w:jc w:val="center"/>
            </w:pPr>
            <w:r>
              <w:rPr>
                <w:rFonts w:hint="eastAsia"/>
              </w:rPr>
              <w:t>4</w:t>
            </w:r>
          </w:p>
        </w:tc>
        <w:tc>
          <w:tcPr>
            <w:tcW w:w="2268" w:type="dxa"/>
          </w:tcPr>
          <w:p w14:paraId="03ECA030">
            <w:pPr>
              <w:keepNext/>
              <w:keepLines/>
              <w:jc w:val="center"/>
            </w:pPr>
            <w:r>
              <w:rPr>
                <w:rFonts w:hint="eastAsia"/>
              </w:rPr>
              <w:t>400*2</w:t>
            </w:r>
          </w:p>
        </w:tc>
      </w:tr>
      <w:tr w14:paraId="5A3CD41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03BE68ED">
            <w:pPr>
              <w:keepNext/>
              <w:keepLines/>
              <w:jc w:val="center"/>
            </w:pPr>
            <w:r>
              <w:rPr>
                <w:rFonts w:hint="eastAsia"/>
              </w:rPr>
              <w:t>1-2</w:t>
            </w:r>
          </w:p>
        </w:tc>
        <w:tc>
          <w:tcPr>
            <w:tcW w:w="2268" w:type="dxa"/>
          </w:tcPr>
          <w:p w14:paraId="5F0AF3D1">
            <w:pPr>
              <w:keepNext/>
              <w:keepLines/>
              <w:jc w:val="center"/>
            </w:pPr>
            <w:r>
              <w:rPr>
                <w:rFonts w:hint="eastAsia"/>
              </w:rPr>
              <w:t>60</w:t>
            </w:r>
          </w:p>
        </w:tc>
        <w:tc>
          <w:tcPr>
            <w:tcW w:w="2438" w:type="dxa"/>
          </w:tcPr>
          <w:p w14:paraId="035584F3">
            <w:pPr>
              <w:keepNext/>
              <w:keepLines/>
              <w:jc w:val="center"/>
            </w:pPr>
            <w:r>
              <w:rPr>
                <w:rFonts w:hint="eastAsia"/>
              </w:rPr>
              <w:t>8</w:t>
            </w:r>
          </w:p>
        </w:tc>
        <w:tc>
          <w:tcPr>
            <w:tcW w:w="2268" w:type="dxa"/>
          </w:tcPr>
          <w:p w14:paraId="6DE6BC01">
            <w:pPr>
              <w:keepNext/>
              <w:keepLines/>
              <w:jc w:val="center"/>
            </w:pPr>
            <w:r>
              <w:rPr>
                <w:rFonts w:hint="eastAsia"/>
              </w:rPr>
              <w:t>400*2</w:t>
            </w:r>
          </w:p>
        </w:tc>
      </w:tr>
      <w:tr w14:paraId="63046A6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02CB8CB1">
            <w:pPr>
              <w:keepNext/>
              <w:keepLines/>
              <w:jc w:val="center"/>
            </w:pPr>
            <w:r>
              <w:rPr>
                <w:rFonts w:hint="eastAsia"/>
              </w:rPr>
              <w:t>1-3</w:t>
            </w:r>
          </w:p>
        </w:tc>
        <w:tc>
          <w:tcPr>
            <w:tcW w:w="2268" w:type="dxa"/>
          </w:tcPr>
          <w:p w14:paraId="650EB229">
            <w:pPr>
              <w:keepNext/>
              <w:keepLines/>
              <w:jc w:val="center"/>
            </w:pPr>
            <w:r>
              <w:rPr>
                <w:rFonts w:hint="eastAsia"/>
              </w:rPr>
              <w:t>60</w:t>
            </w:r>
          </w:p>
        </w:tc>
        <w:tc>
          <w:tcPr>
            <w:tcW w:w="2438" w:type="dxa"/>
          </w:tcPr>
          <w:p w14:paraId="4068705B">
            <w:pPr>
              <w:keepNext/>
              <w:keepLines/>
              <w:jc w:val="center"/>
            </w:pPr>
            <w:r>
              <w:rPr>
                <w:rFonts w:hint="eastAsia"/>
              </w:rPr>
              <w:t>12</w:t>
            </w:r>
          </w:p>
        </w:tc>
        <w:tc>
          <w:tcPr>
            <w:tcW w:w="2268" w:type="dxa"/>
          </w:tcPr>
          <w:p w14:paraId="1F97C87C">
            <w:pPr>
              <w:keepNext/>
              <w:keepLines/>
              <w:jc w:val="center"/>
            </w:pPr>
            <w:r>
              <w:rPr>
                <w:rFonts w:hint="eastAsia"/>
              </w:rPr>
              <w:t>400*2</w:t>
            </w:r>
          </w:p>
        </w:tc>
      </w:tr>
      <w:tr w14:paraId="1DDE134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3EBFFA3C">
            <w:pPr>
              <w:keepNext/>
              <w:keepLines/>
              <w:jc w:val="center"/>
            </w:pPr>
            <w:r>
              <w:rPr>
                <w:rFonts w:hint="eastAsia"/>
              </w:rPr>
              <w:t>1-4</w:t>
            </w:r>
          </w:p>
        </w:tc>
        <w:tc>
          <w:tcPr>
            <w:tcW w:w="2268" w:type="dxa"/>
          </w:tcPr>
          <w:p w14:paraId="34C26488">
            <w:pPr>
              <w:keepNext/>
              <w:keepLines/>
              <w:jc w:val="center"/>
            </w:pPr>
            <w:r>
              <w:rPr>
                <w:rFonts w:hint="eastAsia"/>
              </w:rPr>
              <w:t>60</w:t>
            </w:r>
          </w:p>
        </w:tc>
        <w:tc>
          <w:tcPr>
            <w:tcW w:w="2438" w:type="dxa"/>
          </w:tcPr>
          <w:p w14:paraId="54C49222">
            <w:pPr>
              <w:keepNext/>
              <w:keepLines/>
              <w:jc w:val="center"/>
            </w:pPr>
            <w:r>
              <w:rPr>
                <w:rFonts w:hint="eastAsia"/>
              </w:rPr>
              <w:t>16</w:t>
            </w:r>
          </w:p>
        </w:tc>
        <w:tc>
          <w:tcPr>
            <w:tcW w:w="2268" w:type="dxa"/>
          </w:tcPr>
          <w:p w14:paraId="4C021825">
            <w:pPr>
              <w:keepNext/>
              <w:keepLines/>
              <w:jc w:val="center"/>
            </w:pPr>
            <w:r>
              <w:rPr>
                <w:rFonts w:hint="eastAsia"/>
              </w:rPr>
              <w:t>400*2</w:t>
            </w:r>
          </w:p>
        </w:tc>
      </w:tr>
      <w:tr w14:paraId="2D9B363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50052ADF">
            <w:pPr>
              <w:keepNext/>
              <w:keepLines/>
              <w:jc w:val="center"/>
            </w:pPr>
            <w:r>
              <w:rPr>
                <w:rFonts w:hint="eastAsia"/>
              </w:rPr>
              <w:t>2-1</w:t>
            </w:r>
          </w:p>
        </w:tc>
        <w:tc>
          <w:tcPr>
            <w:tcW w:w="2268" w:type="dxa"/>
          </w:tcPr>
          <w:p w14:paraId="287C2A96">
            <w:pPr>
              <w:keepNext/>
              <w:keepLines/>
              <w:jc w:val="center"/>
            </w:pPr>
            <w:r>
              <w:rPr>
                <w:rFonts w:hint="eastAsia"/>
              </w:rPr>
              <w:t>70</w:t>
            </w:r>
          </w:p>
        </w:tc>
        <w:tc>
          <w:tcPr>
            <w:tcW w:w="2438" w:type="dxa"/>
          </w:tcPr>
          <w:p w14:paraId="5E2FC103">
            <w:pPr>
              <w:keepNext/>
              <w:keepLines/>
              <w:jc w:val="center"/>
            </w:pPr>
            <w:r>
              <w:rPr>
                <w:rFonts w:hint="eastAsia"/>
              </w:rPr>
              <w:t>4</w:t>
            </w:r>
          </w:p>
        </w:tc>
        <w:tc>
          <w:tcPr>
            <w:tcW w:w="2268" w:type="dxa"/>
          </w:tcPr>
          <w:p w14:paraId="37064042">
            <w:pPr>
              <w:keepNext/>
              <w:keepLines/>
              <w:jc w:val="center"/>
            </w:pPr>
            <w:r>
              <w:rPr>
                <w:rFonts w:hint="eastAsia"/>
              </w:rPr>
              <w:t>400*2</w:t>
            </w:r>
          </w:p>
        </w:tc>
      </w:tr>
      <w:tr w14:paraId="6A727AC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1C54D09E">
            <w:pPr>
              <w:keepNext/>
              <w:keepLines/>
              <w:jc w:val="center"/>
            </w:pPr>
            <w:r>
              <w:rPr>
                <w:rFonts w:hint="eastAsia"/>
              </w:rPr>
              <w:t>2-2</w:t>
            </w:r>
          </w:p>
        </w:tc>
        <w:tc>
          <w:tcPr>
            <w:tcW w:w="2268" w:type="dxa"/>
          </w:tcPr>
          <w:p w14:paraId="318119E7">
            <w:pPr>
              <w:keepNext/>
              <w:keepLines/>
              <w:jc w:val="center"/>
            </w:pPr>
            <w:r>
              <w:rPr>
                <w:rFonts w:hint="eastAsia"/>
              </w:rPr>
              <w:t>70</w:t>
            </w:r>
          </w:p>
        </w:tc>
        <w:tc>
          <w:tcPr>
            <w:tcW w:w="2438" w:type="dxa"/>
          </w:tcPr>
          <w:p w14:paraId="0FEC7531">
            <w:pPr>
              <w:keepNext/>
              <w:keepLines/>
              <w:jc w:val="center"/>
            </w:pPr>
            <w:r>
              <w:rPr>
                <w:rFonts w:hint="eastAsia"/>
              </w:rPr>
              <w:t>8</w:t>
            </w:r>
          </w:p>
        </w:tc>
        <w:tc>
          <w:tcPr>
            <w:tcW w:w="2268" w:type="dxa"/>
          </w:tcPr>
          <w:p w14:paraId="0D4A39DC">
            <w:pPr>
              <w:keepNext/>
              <w:keepLines/>
              <w:jc w:val="center"/>
            </w:pPr>
            <w:r>
              <w:rPr>
                <w:rFonts w:hint="eastAsia"/>
              </w:rPr>
              <w:t>400*2</w:t>
            </w:r>
          </w:p>
        </w:tc>
      </w:tr>
      <w:tr w14:paraId="62C48EB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52F4EA6C">
            <w:pPr>
              <w:keepNext/>
              <w:keepLines/>
              <w:jc w:val="center"/>
            </w:pPr>
            <w:r>
              <w:rPr>
                <w:rFonts w:hint="eastAsia"/>
              </w:rPr>
              <w:t>2-3</w:t>
            </w:r>
          </w:p>
        </w:tc>
        <w:tc>
          <w:tcPr>
            <w:tcW w:w="2268" w:type="dxa"/>
          </w:tcPr>
          <w:p w14:paraId="02223FD9">
            <w:pPr>
              <w:keepNext/>
              <w:keepLines/>
              <w:jc w:val="center"/>
            </w:pPr>
            <w:r>
              <w:rPr>
                <w:rFonts w:hint="eastAsia"/>
              </w:rPr>
              <w:t>70</w:t>
            </w:r>
          </w:p>
        </w:tc>
        <w:tc>
          <w:tcPr>
            <w:tcW w:w="2438" w:type="dxa"/>
          </w:tcPr>
          <w:p w14:paraId="64F41B87">
            <w:pPr>
              <w:keepNext/>
              <w:keepLines/>
              <w:jc w:val="center"/>
            </w:pPr>
            <w:r>
              <w:rPr>
                <w:rFonts w:hint="eastAsia"/>
              </w:rPr>
              <w:t>12</w:t>
            </w:r>
          </w:p>
        </w:tc>
        <w:tc>
          <w:tcPr>
            <w:tcW w:w="2268" w:type="dxa"/>
          </w:tcPr>
          <w:p w14:paraId="1774EA70">
            <w:pPr>
              <w:keepNext/>
              <w:keepLines/>
              <w:jc w:val="center"/>
            </w:pPr>
            <w:r>
              <w:rPr>
                <w:rFonts w:hint="eastAsia"/>
              </w:rPr>
              <w:t>400*2</w:t>
            </w:r>
          </w:p>
        </w:tc>
      </w:tr>
      <w:tr w14:paraId="76A7F31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1" w:type="dxa"/>
          </w:tcPr>
          <w:p w14:paraId="5C5ACC09">
            <w:pPr>
              <w:keepNext/>
              <w:keepLines/>
              <w:jc w:val="center"/>
            </w:pPr>
            <w:r>
              <w:rPr>
                <w:rFonts w:hint="eastAsia"/>
              </w:rPr>
              <w:t>2-4</w:t>
            </w:r>
          </w:p>
        </w:tc>
        <w:tc>
          <w:tcPr>
            <w:tcW w:w="2268" w:type="dxa"/>
          </w:tcPr>
          <w:p w14:paraId="61789C8F">
            <w:pPr>
              <w:keepNext/>
              <w:keepLines/>
              <w:jc w:val="center"/>
            </w:pPr>
            <w:r>
              <w:rPr>
                <w:rFonts w:hint="eastAsia"/>
              </w:rPr>
              <w:t>70</w:t>
            </w:r>
          </w:p>
        </w:tc>
        <w:tc>
          <w:tcPr>
            <w:tcW w:w="2438" w:type="dxa"/>
          </w:tcPr>
          <w:p w14:paraId="21076A3A">
            <w:pPr>
              <w:keepNext/>
              <w:keepLines/>
              <w:jc w:val="center"/>
            </w:pPr>
            <w:r>
              <w:rPr>
                <w:rFonts w:hint="eastAsia"/>
              </w:rPr>
              <w:t>16</w:t>
            </w:r>
          </w:p>
        </w:tc>
        <w:tc>
          <w:tcPr>
            <w:tcW w:w="2268" w:type="dxa"/>
          </w:tcPr>
          <w:p w14:paraId="077327CD">
            <w:pPr>
              <w:keepNext/>
              <w:keepLines/>
              <w:jc w:val="center"/>
            </w:pPr>
            <w:r>
              <w:rPr>
                <w:rFonts w:hint="eastAsia"/>
              </w:rPr>
              <w:t>400*2</w:t>
            </w:r>
          </w:p>
        </w:tc>
      </w:tr>
    </w:tbl>
    <w:p w14:paraId="6D7CE650">
      <w:pPr>
        <w:pStyle w:val="4"/>
      </w:pPr>
      <w:r>
        <w:rPr>
          <w:rFonts w:hint="eastAsia"/>
        </w:rPr>
        <w:t>1.3.4 DPPH自由基清除率的测定</w:t>
      </w:r>
    </w:p>
    <w:p w14:paraId="723EF6E6">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称取0.0394 g DPPH溶解于95%的乙醇溶液，以95%乙醇溶液定容至500 mL，配制成0.2 mmol/L的DPPH溶液储存于棕色瓶中，避光保存。</w:t>
      </w:r>
    </w:p>
    <w:p w14:paraId="35790664">
      <w:pPr>
        <w:numPr>
          <w:ilvl w:val="255"/>
          <w:numId w:val="0"/>
        </w:numPr>
        <w:spacing w:line="500" w:lineRule="exact"/>
        <w:ind w:firstLine="606" w:firstLineChars="200"/>
        <w:jc w:val="left"/>
        <w:rPr>
          <w:rFonts w:ascii="宋体" w:hAnsi="宋体"/>
          <w:sz w:val="24"/>
        </w:rPr>
      </w:pPr>
      <w:r>
        <w:rPr>
          <w:rFonts w:hint="eastAsia" w:ascii="仿宋_GB2312" w:hAnsi="宋体" w:eastAsia="仿宋_GB2312"/>
          <w:color w:val="000000"/>
          <w:sz w:val="30"/>
          <w:szCs w:val="30"/>
        </w:rPr>
        <w:t>参照只贤德等</w:t>
      </w:r>
      <w:r>
        <w:rPr>
          <w:rFonts w:hint="eastAsia" w:ascii="仿宋_GB2312" w:hAnsi="宋体" w:eastAsia="仿宋_GB2312"/>
          <w:color w:val="000000"/>
          <w:sz w:val="30"/>
          <w:szCs w:val="30"/>
          <w:vertAlign w:val="superscript"/>
        </w:rPr>
        <w:fldChar w:fldCharType="begin"/>
      </w:r>
      <w:r>
        <w:rPr>
          <w:rFonts w:hint="eastAsia" w:ascii="仿宋_GB2312" w:hAnsi="宋体" w:eastAsia="仿宋_GB2312"/>
          <w:color w:val="000000"/>
          <w:sz w:val="30"/>
          <w:szCs w:val="30"/>
          <w:vertAlign w:val="superscript"/>
        </w:rPr>
        <w:instrText xml:space="preserve"> REF _Ref30060 \r \h </w:instrText>
      </w:r>
      <w:r>
        <w:rPr>
          <w:rFonts w:ascii="仿宋_GB2312" w:hAnsi="宋体" w:eastAsia="仿宋_GB2312"/>
          <w:color w:val="000000"/>
          <w:sz w:val="30"/>
          <w:szCs w:val="30"/>
          <w:vertAlign w:val="superscript"/>
        </w:rPr>
        <w:instrText xml:space="preserve"> \* MERGEFORMAT </w:instrText>
      </w:r>
      <w:r>
        <w:rPr>
          <w:rFonts w:hint="eastAsia" w:ascii="仿宋_GB2312" w:hAnsi="宋体" w:eastAsia="仿宋_GB2312"/>
          <w:color w:val="000000"/>
          <w:sz w:val="30"/>
          <w:szCs w:val="30"/>
          <w:vertAlign w:val="superscript"/>
        </w:rPr>
        <w:fldChar w:fldCharType="separate"/>
      </w:r>
      <w:r>
        <w:rPr>
          <w:rFonts w:hint="eastAsia" w:ascii="仿宋_GB2312" w:hAnsi="宋体" w:eastAsia="仿宋_GB2312"/>
          <w:color w:val="000000"/>
          <w:sz w:val="30"/>
          <w:szCs w:val="30"/>
          <w:vertAlign w:val="superscript"/>
        </w:rPr>
        <w:t>[15]</w:t>
      </w:r>
      <w:r>
        <w:rPr>
          <w:rFonts w:hint="eastAsia" w:ascii="仿宋_GB2312" w:hAnsi="宋体" w:eastAsia="仿宋_GB2312"/>
          <w:color w:val="000000"/>
          <w:sz w:val="30"/>
          <w:szCs w:val="30"/>
          <w:vertAlign w:val="superscript"/>
        </w:rPr>
        <w:fldChar w:fldCharType="end"/>
      </w:r>
      <w:r>
        <w:rPr>
          <w:rFonts w:hint="eastAsia" w:ascii="仿宋_GB2312" w:hAnsi="宋体" w:eastAsia="仿宋_GB2312"/>
          <w:color w:val="000000"/>
          <w:sz w:val="30"/>
          <w:szCs w:val="30"/>
        </w:rPr>
        <w:t>与李安等</w:t>
      </w:r>
      <w:r>
        <w:rPr>
          <w:rFonts w:hint="eastAsia" w:ascii="仿宋_GB2312" w:hAnsi="宋体" w:eastAsia="仿宋_GB2312"/>
          <w:color w:val="000000"/>
          <w:sz w:val="30"/>
          <w:szCs w:val="30"/>
          <w:vertAlign w:val="superscript"/>
        </w:rPr>
        <w:fldChar w:fldCharType="begin"/>
      </w:r>
      <w:r>
        <w:rPr>
          <w:rFonts w:hint="eastAsia" w:ascii="仿宋_GB2312" w:hAnsi="宋体" w:eastAsia="仿宋_GB2312"/>
          <w:color w:val="000000"/>
          <w:sz w:val="30"/>
          <w:szCs w:val="30"/>
          <w:vertAlign w:val="superscript"/>
        </w:rPr>
        <w:instrText xml:space="preserve"> REF _Ref30070 \r \h </w:instrText>
      </w:r>
      <w:r>
        <w:rPr>
          <w:rFonts w:ascii="仿宋_GB2312" w:hAnsi="宋体" w:eastAsia="仿宋_GB2312"/>
          <w:color w:val="000000"/>
          <w:sz w:val="30"/>
          <w:szCs w:val="30"/>
          <w:vertAlign w:val="superscript"/>
        </w:rPr>
        <w:instrText xml:space="preserve"> \* MERGEFORMAT </w:instrText>
      </w:r>
      <w:r>
        <w:rPr>
          <w:rFonts w:hint="eastAsia" w:ascii="仿宋_GB2312" w:hAnsi="宋体" w:eastAsia="仿宋_GB2312"/>
          <w:color w:val="000000"/>
          <w:sz w:val="30"/>
          <w:szCs w:val="30"/>
          <w:vertAlign w:val="superscript"/>
        </w:rPr>
        <w:fldChar w:fldCharType="separate"/>
      </w:r>
      <w:r>
        <w:rPr>
          <w:rFonts w:hint="eastAsia" w:ascii="仿宋_GB2312" w:hAnsi="宋体" w:eastAsia="仿宋_GB2312"/>
          <w:color w:val="000000"/>
          <w:sz w:val="30"/>
          <w:szCs w:val="30"/>
          <w:vertAlign w:val="superscript"/>
        </w:rPr>
        <w:t>[16]</w:t>
      </w:r>
      <w:r>
        <w:rPr>
          <w:rFonts w:hint="eastAsia" w:ascii="仿宋_GB2312" w:hAnsi="宋体" w:eastAsia="仿宋_GB2312"/>
          <w:color w:val="000000"/>
          <w:sz w:val="30"/>
          <w:szCs w:val="30"/>
          <w:vertAlign w:val="superscript"/>
        </w:rPr>
        <w:fldChar w:fldCharType="end"/>
      </w:r>
      <w:r>
        <w:rPr>
          <w:rFonts w:hint="eastAsia" w:ascii="仿宋_GB2312" w:hAnsi="宋体" w:eastAsia="仿宋_GB2312"/>
          <w:color w:val="000000"/>
          <w:sz w:val="30"/>
          <w:szCs w:val="30"/>
        </w:rPr>
        <w:t>的测定方法，吸取1.0 mL供试样品于试管中，用蒸馏水补至2.0 mL，再加入0.2 mmol/L DPPH溶液2.0 mL，混匀，避光静置30 min，于波长517 nm处检测吸光度值（A）。同时测定相同添加量的无水乙醇代替DPPH溶液的吸光度值（B）及以无水乙醇和DPPH溶液各2.0 mL混合后的吸光度值（C），DPPH自由基清除率计算公式如下：</w:t>
      </w:r>
      <w:r>
        <w:rPr>
          <w:rFonts w:hint="eastAsia" w:ascii="宋体" w:hAnsi="宋体"/>
          <w:sz w:val="24"/>
        </w:rPr>
        <w:t xml:space="preserve"> </w:t>
      </w:r>
    </w:p>
    <w:p w14:paraId="30E131F9">
      <w:pPr>
        <w:rPr>
          <w:sz w:val="30"/>
          <w:szCs w:val="30"/>
        </w:rPr>
      </w:pPr>
      <w:r>
        <w:rPr>
          <w:rFonts w:hint="eastAsia" w:ascii="仿宋_GB2312" w:hAnsi="宋体" w:eastAsia="仿宋_GB2312"/>
          <w:color w:val="000000"/>
          <w:sz w:val="30"/>
          <w:szCs w:val="30"/>
        </w:rPr>
        <w:t>DPPH自由基清除率</w:t>
      </w:r>
      <w:r>
        <w:rPr>
          <w:rFonts w:hint="eastAsia"/>
        </w:rPr>
        <w:t>=</w:t>
      </w:r>
      <w:r>
        <w:rPr>
          <w:rFonts w:hint="eastAsia"/>
          <w:sz w:val="30"/>
          <w:szCs w:val="30"/>
        </w:rPr>
        <w:t xml:space="preserve">1- </w:t>
      </w:r>
      <m:oMath>
        <m:f>
          <m:fPr>
            <m:ctrlPr>
              <w:rPr>
                <w:rFonts w:ascii="Cambria Math" w:hAnsi="Cambria Math"/>
                <w:sz w:val="30"/>
                <w:szCs w:val="30"/>
              </w:rPr>
            </m:ctrlPr>
          </m:fPr>
          <m:num>
            <m:r>
              <m:rPr>
                <m:sty m:val="p"/>
              </m:rPr>
              <w:rPr>
                <w:rFonts w:ascii="Cambria Math" w:hAnsi="Cambria Math"/>
                <w:sz w:val="30"/>
                <w:szCs w:val="30"/>
              </w:rPr>
              <m:t>A−B</m:t>
            </m:r>
            <m:ctrlPr>
              <w:rPr>
                <w:rFonts w:ascii="Cambria Math" w:hAnsi="Cambria Math"/>
                <w:sz w:val="30"/>
                <w:szCs w:val="30"/>
              </w:rPr>
            </m:ctrlPr>
          </m:num>
          <m:den>
            <m:r>
              <m:rPr>
                <m:sty m:val="p"/>
              </m:rPr>
              <w:rPr>
                <w:rFonts w:ascii="Cambria Math" w:hAnsi="Cambria Math"/>
                <w:sz w:val="30"/>
                <w:szCs w:val="30"/>
              </w:rPr>
              <m:t>C</m:t>
            </m:r>
            <m:ctrlPr>
              <w:rPr>
                <w:rFonts w:ascii="Cambria Math" w:hAnsi="Cambria Math"/>
                <w:sz w:val="30"/>
                <w:szCs w:val="30"/>
              </w:rPr>
            </m:ctrlPr>
          </m:den>
        </m:f>
      </m:oMath>
      <w:r>
        <w:rPr>
          <w:sz w:val="30"/>
          <w:szCs w:val="30"/>
        </w:rPr>
        <w:t>×</w:t>
      </w:r>
      <w:r>
        <w:rPr>
          <w:rFonts w:hint="eastAsia"/>
          <w:sz w:val="30"/>
          <w:szCs w:val="30"/>
        </w:rPr>
        <w:t>100%.............................</w:t>
      </w:r>
      <w:r>
        <w:rPr>
          <w:rFonts w:hint="eastAsia"/>
          <w:sz w:val="24"/>
          <w:szCs w:val="30"/>
        </w:rPr>
        <w:t>(1)</w:t>
      </w:r>
    </w:p>
    <w:p w14:paraId="2B0F3A85">
      <w:pPr>
        <w:pStyle w:val="4"/>
      </w:pPr>
      <w:r>
        <w:rPr>
          <w:rFonts w:hint="eastAsia"/>
        </w:rPr>
        <w:t>1.3.5 羟自由基清除率的测定</w:t>
      </w:r>
    </w:p>
    <w:p w14:paraId="48F81748">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称量0.4173 g硫酸亚铁，加入适量的水中，搅拌均匀，将溶液转移至250 mL的容量瓶中，定容，配制成6 mmol/L FeSO4溶液，保存于棕色瓶中备用。称量0.2072 g水杨酸溶于无水乙醇，转移至250 ml的容量瓶中，定容，摇匀即可。</w:t>
      </w:r>
    </w:p>
    <w:p w14:paraId="3C322E72">
      <w:pPr>
        <w:numPr>
          <w:ilvl w:val="255"/>
          <w:numId w:val="0"/>
        </w:numPr>
        <w:spacing w:line="500" w:lineRule="exact"/>
        <w:ind w:firstLine="606" w:firstLineChars="200"/>
        <w:jc w:val="left"/>
        <w:rPr>
          <w:rFonts w:ascii="宋体" w:hAnsi="宋体"/>
          <w:sz w:val="24"/>
        </w:rPr>
      </w:pPr>
      <w:r>
        <w:rPr>
          <w:rFonts w:hint="eastAsia" w:ascii="仿宋_GB2312" w:hAnsi="宋体" w:eastAsia="仿宋_GB2312"/>
          <w:color w:val="000000"/>
          <w:sz w:val="30"/>
          <w:szCs w:val="30"/>
        </w:rPr>
        <w:t>吸取1 mL供试样品于试管中，加入6 mmol/L FeSO4溶液2.0 mL和30%的H2O2溶液2.0 mL，混合均匀，再加入6 mmol/L水杨酸溶液2.0 mL，摇匀，避光反应30 min，于波长510 nm处测定吸光度值，记为（A）。以蒸馏水代替水杨酸，测得其吸光度值为（B），以蒸馏水代替待测液作为空白对照组，测定其吸光度值（C）。羟自由基清除率计算公式如下：</w:t>
      </w:r>
      <w:r>
        <w:rPr>
          <w:rFonts w:hint="eastAsia" w:ascii="宋体" w:hAnsi="宋体"/>
          <w:sz w:val="24"/>
        </w:rPr>
        <w:t xml:space="preserve"> </w:t>
      </w:r>
    </w:p>
    <w:p w14:paraId="6CE972F5">
      <w:pPr>
        <w:numPr>
          <w:ilvl w:val="255"/>
          <w:numId w:val="0"/>
        </w:numPr>
        <w:ind w:firstLine="606"/>
        <w:jc w:val="left"/>
        <w:rPr>
          <w:rFonts w:ascii="宋体" w:hAnsi="宋体"/>
          <w:sz w:val="20"/>
        </w:rPr>
      </w:pPr>
      <w:r>
        <w:rPr>
          <w:rFonts w:hint="eastAsia" w:ascii="仿宋_GB2312" w:hAnsi="宋体" w:eastAsia="仿宋_GB2312"/>
          <w:color w:val="000000"/>
          <w:sz w:val="30"/>
          <w:szCs w:val="30"/>
        </w:rPr>
        <w:t>羟自由基清除率</w:t>
      </w:r>
      <w:r>
        <w:rPr>
          <w:rFonts w:hint="eastAsia" w:ascii="宋体" w:hAnsi="宋体"/>
          <w:sz w:val="30"/>
          <w:szCs w:val="30"/>
        </w:rPr>
        <w:t xml:space="preserve">= </w:t>
      </w:r>
      <m:oMath>
        <m:f>
          <m:fPr>
            <m:ctrlPr>
              <w:rPr>
                <w:rFonts w:hint="eastAsia" w:ascii="Cambria Math" w:hAnsi="Cambria Math"/>
                <w:sz w:val="30"/>
                <w:szCs w:val="30"/>
              </w:rPr>
            </m:ctrlPr>
          </m:fPr>
          <m:num>
            <m:r>
              <m:rPr>
                <m:sty m:val="p"/>
              </m:rPr>
              <w:rPr>
                <w:rFonts w:hint="eastAsia" w:ascii="Cambria Math" w:hAnsi="Cambria Math"/>
                <w:sz w:val="30"/>
                <w:szCs w:val="30"/>
              </w:rPr>
              <m:t>C−(A−B)</m:t>
            </m:r>
            <m:ctrlPr>
              <w:rPr>
                <w:rFonts w:hint="eastAsia" w:ascii="Cambria Math" w:hAnsi="Cambria Math"/>
                <w:sz w:val="30"/>
                <w:szCs w:val="30"/>
              </w:rPr>
            </m:ctrlPr>
          </m:num>
          <m:den>
            <m:r>
              <m:rPr>
                <m:sty m:val="p"/>
              </m:rPr>
              <w:rPr>
                <w:rFonts w:hint="eastAsia" w:ascii="Cambria Math" w:hAnsi="Cambria Math"/>
                <w:sz w:val="30"/>
                <w:szCs w:val="30"/>
              </w:rPr>
              <m:t>C</m:t>
            </m:r>
            <m:ctrlPr>
              <w:rPr>
                <w:rFonts w:hint="eastAsia" w:ascii="Cambria Math" w:hAnsi="Cambria Math"/>
                <w:sz w:val="30"/>
                <w:szCs w:val="30"/>
              </w:rPr>
            </m:ctrlPr>
          </m:den>
        </m:f>
      </m:oMath>
      <w:r>
        <w:rPr>
          <w:rFonts w:hint="eastAsia" w:ascii="宋体" w:hAnsi="宋体"/>
          <w:sz w:val="30"/>
          <w:szCs w:val="30"/>
        </w:rPr>
        <w:t>×</w:t>
      </w:r>
      <w:r>
        <w:rPr>
          <w:rFonts w:hint="eastAsia" w:ascii="宋体" w:hAnsi="宋体"/>
          <w:sz w:val="22"/>
          <w:szCs w:val="30"/>
        </w:rPr>
        <w:t>100%.............................(2)</w:t>
      </w:r>
    </w:p>
    <w:p w14:paraId="66C4961D">
      <w:pPr>
        <w:pStyle w:val="4"/>
      </w:pPr>
      <w:r>
        <w:rPr>
          <w:rFonts w:hint="eastAsia"/>
        </w:rPr>
        <w:t>1.3.6 ABTS自由基清除率的测定</w:t>
      </w:r>
    </w:p>
    <w:p w14:paraId="78608819">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称取96.0 mg ABTS，用去离子水溶解并定容至25.0 mL，配制成7.0 mmol/L ABTS溶液：称取16.6 mg过硫酸钾，用去离子水溶解并定容至25.0 mL，配制成2.45 mmol/L溶液；按体积比2:1将ABTS溶液和过硫酸钾溶液混合，黑暗中静置12～16 h，以形成稳定的ABTS自由基阳离子（ABTS），此溶液即为ABTS储备液。使用前用去离子水将ABTS储备液稀释使其在734 nm波长处的吸光度值为（0.700±0.02）。</w:t>
      </w:r>
    </w:p>
    <w:p w14:paraId="4526676A">
      <w:pPr>
        <w:numPr>
          <w:ilvl w:val="255"/>
          <w:numId w:val="0"/>
        </w:numPr>
        <w:spacing w:line="500" w:lineRule="exact"/>
        <w:ind w:firstLine="606" w:firstLineChars="200"/>
        <w:jc w:val="left"/>
        <w:rPr>
          <w:rFonts w:ascii="宋体" w:hAnsi="宋体"/>
          <w:sz w:val="24"/>
        </w:rPr>
      </w:pPr>
      <w:r>
        <w:rPr>
          <w:rFonts w:hint="eastAsia" w:ascii="仿宋_GB2312" w:hAnsi="宋体" w:eastAsia="仿宋_GB2312"/>
          <w:color w:val="000000"/>
          <w:sz w:val="30"/>
          <w:szCs w:val="30"/>
        </w:rPr>
        <w:t>参照孙悦等</w:t>
      </w:r>
      <w:r>
        <w:rPr>
          <w:rFonts w:hint="eastAsia" w:ascii="仿宋_GB2312" w:hAnsi="宋体" w:eastAsia="仿宋_GB2312"/>
          <w:color w:val="000000"/>
          <w:sz w:val="30"/>
          <w:szCs w:val="30"/>
          <w:vertAlign w:val="superscript"/>
        </w:rPr>
        <w:fldChar w:fldCharType="begin"/>
      </w:r>
      <w:r>
        <w:rPr>
          <w:rFonts w:hint="eastAsia" w:ascii="仿宋_GB2312" w:hAnsi="宋体" w:eastAsia="仿宋_GB2312"/>
          <w:color w:val="000000"/>
          <w:sz w:val="30"/>
          <w:szCs w:val="30"/>
          <w:vertAlign w:val="superscript"/>
        </w:rPr>
        <w:instrText xml:space="preserve"> REF _Ref31001 \r \h </w:instrText>
      </w:r>
      <w:r>
        <w:rPr>
          <w:rFonts w:ascii="仿宋_GB2312" w:hAnsi="宋体" w:eastAsia="仿宋_GB2312"/>
          <w:color w:val="000000"/>
          <w:sz w:val="30"/>
          <w:szCs w:val="30"/>
          <w:vertAlign w:val="superscript"/>
        </w:rPr>
        <w:instrText xml:space="preserve"> \* MERGEFORMAT </w:instrText>
      </w:r>
      <w:r>
        <w:rPr>
          <w:rFonts w:hint="eastAsia" w:ascii="仿宋_GB2312" w:hAnsi="宋体" w:eastAsia="仿宋_GB2312"/>
          <w:color w:val="000000"/>
          <w:sz w:val="30"/>
          <w:szCs w:val="30"/>
          <w:vertAlign w:val="superscript"/>
        </w:rPr>
        <w:fldChar w:fldCharType="separate"/>
      </w:r>
      <w:r>
        <w:rPr>
          <w:rFonts w:hint="eastAsia" w:ascii="仿宋_GB2312" w:hAnsi="宋体" w:eastAsia="仿宋_GB2312"/>
          <w:color w:val="000000"/>
          <w:sz w:val="30"/>
          <w:szCs w:val="30"/>
          <w:vertAlign w:val="superscript"/>
        </w:rPr>
        <w:t>[17]</w:t>
      </w:r>
      <w:r>
        <w:rPr>
          <w:rFonts w:hint="eastAsia" w:ascii="仿宋_GB2312" w:hAnsi="宋体" w:eastAsia="仿宋_GB2312"/>
          <w:color w:val="000000"/>
          <w:sz w:val="30"/>
          <w:szCs w:val="30"/>
          <w:vertAlign w:val="superscript"/>
        </w:rPr>
        <w:fldChar w:fldCharType="end"/>
      </w:r>
      <w:r>
        <w:rPr>
          <w:rFonts w:hint="eastAsia" w:ascii="仿宋_GB2312" w:hAnsi="宋体" w:eastAsia="仿宋_GB2312"/>
          <w:color w:val="000000"/>
          <w:sz w:val="30"/>
          <w:szCs w:val="30"/>
        </w:rPr>
        <w:t>的方法，吸取1.0 mL供试样品试管中，用蒸馏水补至2.0 mL，与2.0 mL ABTS溶液混合，室温静置30 min，测定波长734 nm处的吸光度值（A）。以蒸馏水代替待测液作为空白对照，测定其吸光度值（B）。ABTS自由基清除率计算公式如下：</w:t>
      </w:r>
      <w:r>
        <w:rPr>
          <w:rFonts w:hint="eastAsia" w:ascii="宋体" w:hAnsi="宋体"/>
          <w:sz w:val="24"/>
        </w:rPr>
        <w:t xml:space="preserve">  </w:t>
      </w:r>
    </w:p>
    <w:p w14:paraId="39E9F470">
      <w:pPr>
        <w:numPr>
          <w:ilvl w:val="255"/>
          <w:numId w:val="0"/>
        </w:numPr>
        <w:ind w:firstLine="486" w:firstLineChars="200"/>
        <w:jc w:val="left"/>
        <w:rPr>
          <w:rFonts w:ascii="宋体" w:hAnsi="宋体"/>
          <w:sz w:val="24"/>
        </w:rPr>
      </w:pPr>
      <w:r>
        <w:rPr>
          <w:rFonts w:hint="eastAsia" w:ascii="宋体" w:hAnsi="宋体"/>
          <w:sz w:val="24"/>
        </w:rPr>
        <w:t xml:space="preserve">ABTS+ </w:t>
      </w:r>
      <w:r>
        <w:rPr>
          <w:rFonts w:hint="eastAsia" w:ascii="仿宋_GB2312" w:hAnsi="宋体" w:eastAsia="仿宋_GB2312"/>
          <w:color w:val="000000"/>
          <w:sz w:val="30"/>
          <w:szCs w:val="30"/>
        </w:rPr>
        <w:t>自由基清除率</w:t>
      </w:r>
      <w:r>
        <w:rPr>
          <w:rFonts w:hint="eastAsia" w:ascii="宋体" w:hAnsi="宋体"/>
          <w:sz w:val="24"/>
        </w:rPr>
        <w:t>=</w:t>
      </w:r>
      <m:oMath>
        <m:f>
          <m:fPr>
            <m:ctrlPr>
              <w:rPr>
                <w:rFonts w:hint="eastAsia" w:ascii="Cambria Math" w:hAnsi="Cambria Math"/>
                <w:sz w:val="24"/>
              </w:rPr>
            </m:ctrlPr>
          </m:fPr>
          <m:num>
            <m:r>
              <m:rPr>
                <m:sty m:val="p"/>
              </m:rPr>
              <w:rPr>
                <w:rFonts w:hint="eastAsia" w:ascii="Cambria Math" w:hAnsi="Cambria Math"/>
                <w:sz w:val="24"/>
              </w:rPr>
              <m:t>B−A</m:t>
            </m:r>
            <m:ctrlPr>
              <w:rPr>
                <w:rFonts w:hint="eastAsia" w:ascii="Cambria Math" w:hAnsi="Cambria Math"/>
                <w:sz w:val="24"/>
              </w:rPr>
            </m:ctrlPr>
          </m:num>
          <m:den>
            <m:r>
              <m:rPr>
                <m:sty m:val="p"/>
              </m:rPr>
              <w:rPr>
                <w:rFonts w:hint="eastAsia" w:ascii="Cambria Math" w:hAnsi="Cambria Math"/>
                <w:sz w:val="24"/>
              </w:rPr>
              <m:t>B</m:t>
            </m:r>
            <m:ctrlPr>
              <w:rPr>
                <w:rFonts w:hint="eastAsia" w:ascii="Cambria Math" w:hAnsi="Cambria Math"/>
                <w:sz w:val="24"/>
              </w:rPr>
            </m:ctrlPr>
          </m:den>
        </m:f>
      </m:oMath>
      <w:r>
        <w:rPr>
          <w:rFonts w:hint="eastAsia" w:ascii="宋体" w:hAnsi="宋体"/>
          <w:sz w:val="24"/>
        </w:rPr>
        <w:t>×100%.............................(3)</w:t>
      </w:r>
    </w:p>
    <w:p w14:paraId="2294870E">
      <w:pPr>
        <w:pStyle w:val="4"/>
      </w:pPr>
      <w:r>
        <w:rPr>
          <w:rFonts w:hint="eastAsia"/>
        </w:rPr>
        <w:t>1.3.7 黄酮含量测定</w:t>
      </w:r>
    </w:p>
    <w:p w14:paraId="72317535">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参考安军</w:t>
      </w:r>
      <w:r>
        <w:rPr>
          <w:rFonts w:hint="eastAsia" w:ascii="仿宋_GB2312" w:hAnsi="宋体" w:eastAsia="仿宋_GB2312"/>
          <w:color w:val="000000"/>
          <w:sz w:val="30"/>
          <w:szCs w:val="30"/>
          <w:vertAlign w:val="superscript"/>
        </w:rPr>
        <w:fldChar w:fldCharType="begin"/>
      </w:r>
      <w:r>
        <w:rPr>
          <w:rFonts w:hint="eastAsia" w:ascii="仿宋_GB2312" w:hAnsi="宋体" w:eastAsia="仿宋_GB2312"/>
          <w:color w:val="000000"/>
          <w:sz w:val="30"/>
          <w:szCs w:val="30"/>
          <w:vertAlign w:val="superscript"/>
        </w:rPr>
        <w:instrText xml:space="preserve"> REF _Ref8329 \r \h </w:instrText>
      </w:r>
      <w:r>
        <w:rPr>
          <w:rFonts w:ascii="仿宋_GB2312" w:hAnsi="宋体" w:eastAsia="仿宋_GB2312"/>
          <w:color w:val="000000"/>
          <w:sz w:val="30"/>
          <w:szCs w:val="30"/>
          <w:vertAlign w:val="superscript"/>
        </w:rPr>
        <w:instrText xml:space="preserve"> \* MERGEFORMAT </w:instrText>
      </w:r>
      <w:r>
        <w:rPr>
          <w:rFonts w:hint="eastAsia" w:ascii="仿宋_GB2312" w:hAnsi="宋体" w:eastAsia="仿宋_GB2312"/>
          <w:color w:val="000000"/>
          <w:sz w:val="30"/>
          <w:szCs w:val="30"/>
          <w:vertAlign w:val="superscript"/>
        </w:rPr>
        <w:fldChar w:fldCharType="separate"/>
      </w:r>
      <w:r>
        <w:rPr>
          <w:rFonts w:hint="eastAsia" w:ascii="仿宋_GB2312" w:hAnsi="宋体" w:eastAsia="仿宋_GB2312"/>
          <w:color w:val="000000"/>
          <w:sz w:val="30"/>
          <w:szCs w:val="30"/>
          <w:vertAlign w:val="superscript"/>
        </w:rPr>
        <w:t>[18]</w:t>
      </w:r>
      <w:r>
        <w:rPr>
          <w:rFonts w:hint="eastAsia" w:ascii="仿宋_GB2312" w:hAnsi="宋体" w:eastAsia="仿宋_GB2312"/>
          <w:color w:val="000000"/>
          <w:sz w:val="30"/>
          <w:szCs w:val="30"/>
          <w:vertAlign w:val="superscript"/>
        </w:rPr>
        <w:fldChar w:fldCharType="end"/>
      </w:r>
      <w:r>
        <w:rPr>
          <w:rFonts w:hint="eastAsia" w:ascii="仿宋_GB2312" w:hAnsi="宋体" w:eastAsia="仿宋_GB2312"/>
          <w:color w:val="000000"/>
          <w:sz w:val="30"/>
          <w:szCs w:val="30"/>
        </w:rPr>
        <w:t>的方法稍作修改，准确称取 10.0 mg 芦丁，用乙醇溶后定容到 50 mL，配制成 0.2 mg/mL 的芦丁标准溶液，分别吸取 0.2、0.4、0.6、0.8、1.0 mg/mL的芦丁标准溶液，用超纯水溶液至 2.0 mL。加入 0.3 mL 5%亚硝酸钠溶液，振摇后，放置 6 min，加入 0.3 mL 10%硝酸铝溶液，摇匀后放置 6 min，加入 3 mL 10%氢氧化钠溶液，摇匀，用乙醇定容至10.0 mL，保鲜膜封口，静置 15 min，在 510 nm 波长处测定吸光度，以吸光度为纵坐标，芦丁质量为横坐标，绘制芦丁标准曲线，得到回归方程y = 2.6517x + 0.0608，相关系数R2= 0.9995。</w:t>
      </w:r>
    </w:p>
    <w:p w14:paraId="5110A341">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 xml:space="preserve"> 吸取样品1.0 mL，用乙醇补至 2.0 mL，加入 0.3 mL 5%亚硝酸钠溶液，摇匀后，放置 6 min，加入 0.3 mL 10%硝酸铝溶液，摇匀后放置 6 min，加入 3 mL 10%氢氧化钠溶液，摇匀，用乙醇定容至10 mL，保鲜膜封口，静置 15 min，在 510 nm波长处测定吸光度，通过标准曲线，计算总黄酮含量。</w:t>
      </w:r>
    </w:p>
    <w:p w14:paraId="0EDF7AA6">
      <w:pPr>
        <w:pStyle w:val="4"/>
      </w:pPr>
      <w:r>
        <w:rPr>
          <w:rFonts w:hint="eastAsia"/>
        </w:rPr>
        <w:t>1.3.8 总酚含量测定</w:t>
      </w:r>
    </w:p>
    <w:p w14:paraId="56DEAC52">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采用 Folin-Ciocalteu 法测定总多酚含量，以没食子酸为标准品，用乙醇配制成 0.1 mg/mL 的没食子酸标准溶液。吸取 0.2、0.3、0.4、0.5、0.6、0.7 mg/mL没食子酸标准溶液，加50%乙醇溶液补至6.0 mL，再加入1.0 mL 福林酚试剂混匀后，快速再加入 0.2 g/mL Na2CO3 溶液 2 mL，用50%乙醇定容至10.0 mL，保鲜膜封口，75℃下避光反应10 min。以试剂为空白参比，于760 nm 波长处测定吸光度，制作标准曲线，得到回归方程y = 8.3067x + 0.0271，相关系数R2=0.999。取适量样品，重复上述操作测量其吸光度值，并计算总酚含量。</w:t>
      </w:r>
    </w:p>
    <w:p w14:paraId="44A831F2">
      <w:pPr>
        <w:pStyle w:val="4"/>
      </w:pPr>
      <w:r>
        <w:rPr>
          <w:rFonts w:hint="eastAsia"/>
        </w:rPr>
        <w:t>1.3.9 五指毛桃露酒色差分析</w:t>
      </w:r>
    </w:p>
    <w:p w14:paraId="5A85131B">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参照王腾飞等</w:t>
      </w:r>
      <w:r>
        <w:rPr>
          <w:rFonts w:hint="eastAsia" w:ascii="仿宋_GB2312" w:hAnsi="宋体" w:eastAsia="仿宋_GB2312"/>
          <w:color w:val="000000"/>
          <w:sz w:val="30"/>
          <w:szCs w:val="30"/>
          <w:vertAlign w:val="superscript"/>
        </w:rPr>
        <w:fldChar w:fldCharType="begin"/>
      </w:r>
      <w:r>
        <w:rPr>
          <w:rFonts w:hint="eastAsia" w:ascii="仿宋_GB2312" w:hAnsi="宋体" w:eastAsia="仿宋_GB2312"/>
          <w:color w:val="000000"/>
          <w:sz w:val="30"/>
          <w:szCs w:val="30"/>
          <w:vertAlign w:val="superscript"/>
        </w:rPr>
        <w:instrText xml:space="preserve"> REF _Ref8407 \r \h </w:instrText>
      </w:r>
      <w:r>
        <w:rPr>
          <w:rFonts w:ascii="仿宋_GB2312" w:hAnsi="宋体" w:eastAsia="仿宋_GB2312"/>
          <w:color w:val="000000"/>
          <w:sz w:val="30"/>
          <w:szCs w:val="30"/>
          <w:vertAlign w:val="superscript"/>
        </w:rPr>
        <w:instrText xml:space="preserve"> \* MERGEFORMAT </w:instrText>
      </w:r>
      <w:r>
        <w:rPr>
          <w:rFonts w:hint="eastAsia" w:ascii="仿宋_GB2312" w:hAnsi="宋体" w:eastAsia="仿宋_GB2312"/>
          <w:color w:val="000000"/>
          <w:sz w:val="30"/>
          <w:szCs w:val="30"/>
          <w:vertAlign w:val="superscript"/>
        </w:rPr>
        <w:fldChar w:fldCharType="separate"/>
      </w:r>
      <w:r>
        <w:rPr>
          <w:rFonts w:hint="eastAsia" w:ascii="仿宋_GB2312" w:hAnsi="宋体" w:eastAsia="仿宋_GB2312"/>
          <w:color w:val="000000"/>
          <w:sz w:val="30"/>
          <w:szCs w:val="30"/>
          <w:vertAlign w:val="superscript"/>
        </w:rPr>
        <w:t>[19]</w:t>
      </w:r>
      <w:r>
        <w:rPr>
          <w:rFonts w:hint="eastAsia" w:ascii="仿宋_GB2312" w:hAnsi="宋体" w:eastAsia="仿宋_GB2312"/>
          <w:color w:val="000000"/>
          <w:sz w:val="30"/>
          <w:szCs w:val="30"/>
          <w:vertAlign w:val="superscript"/>
        </w:rPr>
        <w:fldChar w:fldCharType="end"/>
      </w:r>
      <w:r>
        <w:rPr>
          <w:rFonts w:hint="eastAsia" w:ascii="仿宋_GB2312" w:hAnsi="宋体" w:eastAsia="仿宋_GB2312"/>
          <w:color w:val="000000"/>
          <w:sz w:val="30"/>
          <w:szCs w:val="30"/>
        </w:rPr>
        <w:t>的方法，采用色差仪，取样品在检测处，测定L、a、b 值，记录 L 值、a 值、b 值，计算ΔL、Δa、</w:t>
      </w:r>
      <w:bookmarkStart w:id="8" w:name="OLE_LINK3"/>
      <w:r>
        <w:rPr>
          <w:rFonts w:hint="eastAsia" w:ascii="仿宋_GB2312" w:hAnsi="宋体" w:eastAsia="仿宋_GB2312"/>
          <w:color w:val="000000"/>
          <w:sz w:val="30"/>
          <w:szCs w:val="30"/>
        </w:rPr>
        <w:t>Δ</w:t>
      </w:r>
      <w:bookmarkEnd w:id="8"/>
      <w:r>
        <w:rPr>
          <w:rFonts w:hint="eastAsia" w:ascii="仿宋_GB2312" w:hAnsi="宋体" w:eastAsia="仿宋_GB2312"/>
          <w:color w:val="000000"/>
          <w:sz w:val="30"/>
          <w:szCs w:val="30"/>
        </w:rPr>
        <w:t>b及ΔE。</w:t>
      </w:r>
    </w:p>
    <w:p w14:paraId="1CEAC4DC">
      <w:pPr>
        <w:pStyle w:val="4"/>
      </w:pPr>
      <w:r>
        <w:rPr>
          <w:rFonts w:hint="eastAsia"/>
        </w:rPr>
        <w:t>1.3.10 感官评价</w:t>
      </w:r>
    </w:p>
    <w:p w14:paraId="54341FDA">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选取若干名专业人员组建品鉴小组，从外观、色泽、香气3个方面对五指毛桃沃柑酒进行感官评分，参考GB/T27588—2011《露酒》、T/CBJ 5102—2019《保健酒》，结合供试产品特点，建立五指毛桃露酒的感官评分标准，满分100分。评价标准如下：</w:t>
      </w:r>
    </w:p>
    <w:p w14:paraId="3B06CD2F">
      <w:pPr>
        <w:numPr>
          <w:ilvl w:val="255"/>
          <w:numId w:val="0"/>
        </w:numPr>
        <w:spacing w:line="500" w:lineRule="exact"/>
        <w:ind w:firstLine="486" w:firstLineChars="200"/>
        <w:jc w:val="left"/>
        <w:rPr>
          <w:sz w:val="24"/>
        </w:rPr>
      </w:pPr>
      <w:r>
        <w:rPr>
          <w:rFonts w:hint="eastAsia"/>
          <w:sz w:val="24"/>
        </w:rPr>
        <w:t>表5 五指毛桃露酒感官评分标准</w:t>
      </w:r>
    </w:p>
    <w:p w14:paraId="702206C4">
      <w:pPr>
        <w:jc w:val="center"/>
        <w:rPr>
          <w:sz w:val="24"/>
        </w:rPr>
      </w:pPr>
      <w:r>
        <w:rPr>
          <w:sz w:val="24"/>
        </w:rPr>
        <w:t xml:space="preserve">Table </w:t>
      </w:r>
      <w:r>
        <w:rPr>
          <w:rFonts w:hint="eastAsia"/>
          <w:sz w:val="24"/>
        </w:rPr>
        <w:t xml:space="preserve">1-4 </w:t>
      </w:r>
      <w:r>
        <w:rPr>
          <w:sz w:val="24"/>
        </w:rPr>
        <w:t>Sensory Rating Standards for Five Finger Peach Health Wine</w:t>
      </w:r>
    </w:p>
    <w:tbl>
      <w:tblPr>
        <w:tblStyle w:val="13"/>
        <w:tblW w:w="978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5"/>
        <w:gridCol w:w="6378"/>
        <w:gridCol w:w="1706"/>
      </w:tblGrid>
      <w:tr w14:paraId="1EBF1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op w:val="single" w:color="auto" w:sz="12" w:space="0"/>
              <w:bottom w:val="single" w:color="auto" w:sz="4" w:space="0"/>
            </w:tcBorders>
          </w:tcPr>
          <w:p w14:paraId="3DB55D67">
            <w:pPr>
              <w:keepLines/>
              <w:numPr>
                <w:ilvl w:val="255"/>
                <w:numId w:val="0"/>
              </w:numPr>
              <w:jc w:val="center"/>
              <w:rPr>
                <w:rFonts w:ascii="宋体" w:hAnsi="宋体" w:cs="宋体"/>
              </w:rPr>
            </w:pPr>
            <w:r>
              <w:rPr>
                <w:rFonts w:hint="eastAsia" w:ascii="宋体" w:hAnsi="宋体" w:cs="宋体"/>
              </w:rPr>
              <w:t>项目</w:t>
            </w:r>
          </w:p>
        </w:tc>
        <w:tc>
          <w:tcPr>
            <w:tcW w:w="6378" w:type="dxa"/>
            <w:tcBorders>
              <w:top w:val="single" w:color="auto" w:sz="12" w:space="0"/>
              <w:bottom w:val="single" w:color="auto" w:sz="4" w:space="0"/>
            </w:tcBorders>
          </w:tcPr>
          <w:p w14:paraId="5430E344">
            <w:pPr>
              <w:keepLines/>
              <w:numPr>
                <w:ilvl w:val="255"/>
                <w:numId w:val="0"/>
              </w:numPr>
              <w:jc w:val="center"/>
              <w:rPr>
                <w:rFonts w:ascii="宋体" w:hAnsi="宋体" w:cs="宋体"/>
              </w:rPr>
            </w:pPr>
            <w:r>
              <w:rPr>
                <w:rFonts w:hint="eastAsia" w:ascii="宋体" w:hAnsi="宋体" w:cs="宋体"/>
              </w:rPr>
              <w:t>评价标准</w:t>
            </w:r>
          </w:p>
        </w:tc>
        <w:tc>
          <w:tcPr>
            <w:tcW w:w="1706" w:type="dxa"/>
            <w:tcBorders>
              <w:top w:val="single" w:color="auto" w:sz="12" w:space="0"/>
              <w:bottom w:val="single" w:color="auto" w:sz="4" w:space="0"/>
            </w:tcBorders>
          </w:tcPr>
          <w:p w14:paraId="713A705E">
            <w:pPr>
              <w:keepLines/>
              <w:numPr>
                <w:ilvl w:val="255"/>
                <w:numId w:val="0"/>
              </w:numPr>
              <w:jc w:val="center"/>
              <w:rPr>
                <w:rFonts w:ascii="宋体" w:hAnsi="宋体" w:cs="宋体"/>
              </w:rPr>
            </w:pPr>
            <w:r>
              <w:rPr>
                <w:rFonts w:hint="eastAsia" w:ascii="宋体" w:hAnsi="宋体" w:cs="宋体"/>
              </w:rPr>
              <w:t>评分/分</w:t>
            </w:r>
          </w:p>
        </w:tc>
      </w:tr>
      <w:tr w14:paraId="64223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op w:val="single" w:color="auto" w:sz="4" w:space="0"/>
            </w:tcBorders>
          </w:tcPr>
          <w:p w14:paraId="7415926A">
            <w:pPr>
              <w:keepLines/>
              <w:numPr>
                <w:ilvl w:val="255"/>
                <w:numId w:val="0"/>
              </w:numPr>
              <w:jc w:val="center"/>
              <w:rPr>
                <w:rFonts w:ascii="宋体" w:hAnsi="宋体" w:cs="宋体"/>
              </w:rPr>
            </w:pPr>
          </w:p>
        </w:tc>
        <w:tc>
          <w:tcPr>
            <w:tcW w:w="6378" w:type="dxa"/>
            <w:tcBorders>
              <w:top w:val="single" w:color="auto" w:sz="4" w:space="0"/>
            </w:tcBorders>
          </w:tcPr>
          <w:p w14:paraId="6B82E45A">
            <w:pPr>
              <w:keepLines/>
              <w:numPr>
                <w:ilvl w:val="255"/>
                <w:numId w:val="0"/>
              </w:numPr>
              <w:jc w:val="center"/>
              <w:rPr>
                <w:rFonts w:ascii="宋体" w:hAnsi="宋体" w:cs="宋体"/>
              </w:rPr>
            </w:pPr>
            <w:r>
              <w:rPr>
                <w:rFonts w:hint="eastAsia" w:ascii="宋体" w:hAnsi="宋体" w:cs="宋体"/>
              </w:rPr>
              <w:t>无悬浮物，清澈透亮，有光泽</w:t>
            </w:r>
          </w:p>
        </w:tc>
        <w:tc>
          <w:tcPr>
            <w:tcW w:w="1706" w:type="dxa"/>
            <w:tcBorders>
              <w:top w:val="single" w:color="auto" w:sz="4" w:space="0"/>
            </w:tcBorders>
          </w:tcPr>
          <w:p w14:paraId="0B9F6545">
            <w:pPr>
              <w:keepLines/>
              <w:numPr>
                <w:ilvl w:val="255"/>
                <w:numId w:val="0"/>
              </w:numPr>
              <w:jc w:val="center"/>
              <w:rPr>
                <w:rFonts w:ascii="宋体" w:hAnsi="宋体" w:cs="宋体"/>
              </w:rPr>
            </w:pPr>
            <w:r>
              <w:rPr>
                <w:rFonts w:hint="eastAsia" w:ascii="宋体" w:hAnsi="宋体" w:cs="宋体"/>
              </w:rPr>
              <w:t>21-30</w:t>
            </w:r>
          </w:p>
        </w:tc>
      </w:tr>
      <w:tr w14:paraId="38B44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l2br w:val="nil"/>
              <w:tr2bl w:val="nil"/>
            </w:tcBorders>
          </w:tcPr>
          <w:p w14:paraId="342481D8">
            <w:pPr>
              <w:keepLines/>
              <w:numPr>
                <w:ilvl w:val="255"/>
                <w:numId w:val="0"/>
              </w:numPr>
              <w:jc w:val="center"/>
              <w:rPr>
                <w:rFonts w:ascii="宋体" w:hAnsi="宋体" w:cs="宋体"/>
              </w:rPr>
            </w:pPr>
            <w:r>
              <w:rPr>
                <w:rFonts w:hint="eastAsia" w:ascii="宋体" w:hAnsi="宋体" w:cs="宋体"/>
              </w:rPr>
              <w:t>外观</w:t>
            </w:r>
          </w:p>
        </w:tc>
        <w:tc>
          <w:tcPr>
            <w:tcW w:w="6378" w:type="dxa"/>
            <w:tcBorders>
              <w:tl2br w:val="nil"/>
              <w:tr2bl w:val="nil"/>
            </w:tcBorders>
          </w:tcPr>
          <w:p w14:paraId="7AC137AD">
            <w:pPr>
              <w:keepLines/>
              <w:numPr>
                <w:ilvl w:val="255"/>
                <w:numId w:val="0"/>
              </w:numPr>
              <w:jc w:val="center"/>
              <w:rPr>
                <w:rFonts w:ascii="宋体" w:hAnsi="宋体" w:cs="宋体"/>
              </w:rPr>
            </w:pPr>
            <w:r>
              <w:rPr>
                <w:rFonts w:hint="eastAsia" w:ascii="宋体" w:hAnsi="宋体" w:cs="宋体"/>
              </w:rPr>
              <w:t>清澈透明，稍有悬浮物或沉淀</w:t>
            </w:r>
          </w:p>
        </w:tc>
        <w:tc>
          <w:tcPr>
            <w:tcW w:w="1706" w:type="dxa"/>
            <w:tcBorders>
              <w:tl2br w:val="nil"/>
              <w:tr2bl w:val="nil"/>
            </w:tcBorders>
          </w:tcPr>
          <w:p w14:paraId="670F7271">
            <w:pPr>
              <w:keepLines/>
              <w:numPr>
                <w:ilvl w:val="255"/>
                <w:numId w:val="0"/>
              </w:numPr>
              <w:jc w:val="center"/>
              <w:rPr>
                <w:rFonts w:ascii="宋体" w:hAnsi="宋体" w:cs="宋体"/>
              </w:rPr>
            </w:pPr>
            <w:r>
              <w:rPr>
                <w:rFonts w:hint="eastAsia" w:ascii="宋体" w:hAnsi="宋体" w:cs="宋体"/>
              </w:rPr>
              <w:t>11-20</w:t>
            </w:r>
          </w:p>
        </w:tc>
      </w:tr>
      <w:tr w14:paraId="2F9C1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l2br w:val="nil"/>
              <w:tr2bl w:val="nil"/>
            </w:tcBorders>
          </w:tcPr>
          <w:p w14:paraId="1B1E1011">
            <w:pPr>
              <w:keepLines/>
              <w:numPr>
                <w:ilvl w:val="255"/>
                <w:numId w:val="0"/>
              </w:numPr>
              <w:jc w:val="center"/>
              <w:rPr>
                <w:rFonts w:ascii="宋体" w:hAnsi="宋体" w:cs="宋体"/>
              </w:rPr>
            </w:pPr>
          </w:p>
        </w:tc>
        <w:tc>
          <w:tcPr>
            <w:tcW w:w="6378" w:type="dxa"/>
            <w:tcBorders>
              <w:tl2br w:val="nil"/>
              <w:tr2bl w:val="nil"/>
            </w:tcBorders>
          </w:tcPr>
          <w:p w14:paraId="2498EA05">
            <w:pPr>
              <w:keepLines/>
              <w:numPr>
                <w:ilvl w:val="255"/>
                <w:numId w:val="0"/>
              </w:numPr>
              <w:jc w:val="center"/>
              <w:rPr>
                <w:rFonts w:ascii="宋体" w:hAnsi="宋体" w:cs="宋体"/>
              </w:rPr>
            </w:pPr>
            <w:r>
              <w:rPr>
                <w:rFonts w:hint="eastAsia" w:ascii="宋体" w:hAnsi="宋体" w:cs="宋体"/>
              </w:rPr>
              <w:t>不清亮，稍显浑浊</w:t>
            </w:r>
          </w:p>
        </w:tc>
        <w:tc>
          <w:tcPr>
            <w:tcW w:w="1706" w:type="dxa"/>
            <w:tcBorders>
              <w:tl2br w:val="nil"/>
              <w:tr2bl w:val="nil"/>
            </w:tcBorders>
          </w:tcPr>
          <w:p w14:paraId="2FA9F39A">
            <w:pPr>
              <w:keepLines/>
              <w:numPr>
                <w:ilvl w:val="255"/>
                <w:numId w:val="0"/>
              </w:numPr>
              <w:jc w:val="center"/>
              <w:rPr>
                <w:rFonts w:ascii="宋体" w:hAnsi="宋体" w:cs="宋体"/>
              </w:rPr>
            </w:pPr>
            <w:r>
              <w:rPr>
                <w:rFonts w:hint="eastAsia" w:ascii="宋体" w:hAnsi="宋体" w:cs="宋体"/>
              </w:rPr>
              <w:t>0-10</w:t>
            </w:r>
          </w:p>
        </w:tc>
      </w:tr>
      <w:tr w14:paraId="072A4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l2br w:val="nil"/>
              <w:tr2bl w:val="nil"/>
            </w:tcBorders>
          </w:tcPr>
          <w:p w14:paraId="48E6771A">
            <w:pPr>
              <w:keepLines/>
              <w:numPr>
                <w:ilvl w:val="255"/>
                <w:numId w:val="0"/>
              </w:numPr>
              <w:jc w:val="center"/>
              <w:rPr>
                <w:rFonts w:ascii="宋体" w:hAnsi="宋体" w:cs="宋体"/>
              </w:rPr>
            </w:pPr>
          </w:p>
        </w:tc>
        <w:tc>
          <w:tcPr>
            <w:tcW w:w="6378" w:type="dxa"/>
            <w:tcBorders>
              <w:tl2br w:val="nil"/>
              <w:tr2bl w:val="nil"/>
            </w:tcBorders>
          </w:tcPr>
          <w:p w14:paraId="3AAF4E95">
            <w:pPr>
              <w:keepLines/>
              <w:jc w:val="center"/>
              <w:rPr>
                <w:rFonts w:ascii="宋体" w:hAnsi="宋体" w:cs="宋体"/>
              </w:rPr>
            </w:pPr>
            <w:r>
              <w:rPr>
                <w:rFonts w:hint="eastAsia" w:ascii="宋体" w:hAnsi="宋体" w:cs="宋体"/>
              </w:rPr>
              <w:t>颜色金黄纯正，清亮透明</w:t>
            </w:r>
          </w:p>
        </w:tc>
        <w:tc>
          <w:tcPr>
            <w:tcW w:w="1706" w:type="dxa"/>
            <w:tcBorders>
              <w:tl2br w:val="nil"/>
              <w:tr2bl w:val="nil"/>
            </w:tcBorders>
          </w:tcPr>
          <w:p w14:paraId="725A3E9C">
            <w:pPr>
              <w:keepLines/>
              <w:numPr>
                <w:ilvl w:val="255"/>
                <w:numId w:val="0"/>
              </w:numPr>
              <w:jc w:val="center"/>
              <w:rPr>
                <w:rFonts w:ascii="宋体" w:hAnsi="宋体" w:cs="宋体"/>
              </w:rPr>
            </w:pPr>
            <w:r>
              <w:rPr>
                <w:rFonts w:hint="eastAsia" w:ascii="宋体" w:hAnsi="宋体" w:cs="宋体"/>
              </w:rPr>
              <w:t>21-30</w:t>
            </w:r>
          </w:p>
        </w:tc>
      </w:tr>
      <w:tr w14:paraId="77FBB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l2br w:val="nil"/>
              <w:tr2bl w:val="nil"/>
            </w:tcBorders>
          </w:tcPr>
          <w:p w14:paraId="286E9B53">
            <w:pPr>
              <w:keepLines/>
              <w:numPr>
                <w:ilvl w:val="255"/>
                <w:numId w:val="0"/>
              </w:numPr>
              <w:jc w:val="center"/>
              <w:rPr>
                <w:rFonts w:ascii="宋体" w:hAnsi="宋体" w:cs="宋体"/>
              </w:rPr>
            </w:pPr>
            <w:r>
              <w:rPr>
                <w:rFonts w:hint="eastAsia" w:ascii="宋体" w:hAnsi="宋体" w:cs="宋体"/>
              </w:rPr>
              <w:t>色泽</w:t>
            </w:r>
          </w:p>
        </w:tc>
        <w:tc>
          <w:tcPr>
            <w:tcW w:w="6378" w:type="dxa"/>
            <w:tcBorders>
              <w:tl2br w:val="nil"/>
              <w:tr2bl w:val="nil"/>
            </w:tcBorders>
          </w:tcPr>
          <w:p w14:paraId="079F08E0">
            <w:pPr>
              <w:keepLines/>
              <w:jc w:val="center"/>
              <w:rPr>
                <w:rFonts w:ascii="宋体" w:hAnsi="宋体" w:cs="宋体"/>
              </w:rPr>
            </w:pPr>
            <w:r>
              <w:rPr>
                <w:rFonts w:hint="eastAsia" w:ascii="宋体" w:hAnsi="宋体" w:cs="宋体"/>
              </w:rPr>
              <w:t>颜色淡黄，清亮透明</w:t>
            </w:r>
          </w:p>
        </w:tc>
        <w:tc>
          <w:tcPr>
            <w:tcW w:w="1706" w:type="dxa"/>
            <w:tcBorders>
              <w:tl2br w:val="nil"/>
              <w:tr2bl w:val="nil"/>
            </w:tcBorders>
          </w:tcPr>
          <w:p w14:paraId="055AE0E9">
            <w:pPr>
              <w:keepLines/>
              <w:numPr>
                <w:ilvl w:val="255"/>
                <w:numId w:val="0"/>
              </w:numPr>
              <w:jc w:val="center"/>
              <w:rPr>
                <w:rFonts w:ascii="宋体" w:hAnsi="宋体" w:cs="宋体"/>
              </w:rPr>
            </w:pPr>
            <w:r>
              <w:rPr>
                <w:rFonts w:hint="eastAsia" w:ascii="宋体" w:hAnsi="宋体" w:cs="宋体"/>
              </w:rPr>
              <w:t>11-20</w:t>
            </w:r>
          </w:p>
        </w:tc>
      </w:tr>
      <w:tr w14:paraId="53E42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l2br w:val="nil"/>
              <w:tr2bl w:val="nil"/>
            </w:tcBorders>
          </w:tcPr>
          <w:p w14:paraId="747D4A0E">
            <w:pPr>
              <w:keepLines/>
              <w:numPr>
                <w:ilvl w:val="255"/>
                <w:numId w:val="0"/>
              </w:numPr>
              <w:jc w:val="center"/>
              <w:rPr>
                <w:rFonts w:ascii="宋体" w:hAnsi="宋体" w:cs="宋体"/>
              </w:rPr>
            </w:pPr>
          </w:p>
        </w:tc>
        <w:tc>
          <w:tcPr>
            <w:tcW w:w="6378" w:type="dxa"/>
            <w:tcBorders>
              <w:tl2br w:val="nil"/>
              <w:tr2bl w:val="nil"/>
            </w:tcBorders>
          </w:tcPr>
          <w:p w14:paraId="4A1C15E7">
            <w:pPr>
              <w:keepLines/>
              <w:jc w:val="center"/>
              <w:rPr>
                <w:rFonts w:ascii="宋体" w:hAnsi="宋体" w:cs="宋体"/>
              </w:rPr>
            </w:pPr>
            <w:r>
              <w:rPr>
                <w:rFonts w:hint="eastAsia" w:ascii="宋体" w:hAnsi="宋体" w:cs="宋体"/>
              </w:rPr>
              <w:t>颜色寡淡</w:t>
            </w:r>
          </w:p>
        </w:tc>
        <w:tc>
          <w:tcPr>
            <w:tcW w:w="1706" w:type="dxa"/>
            <w:tcBorders>
              <w:tl2br w:val="nil"/>
              <w:tr2bl w:val="nil"/>
            </w:tcBorders>
          </w:tcPr>
          <w:p w14:paraId="1351C9B3">
            <w:pPr>
              <w:keepLines/>
              <w:numPr>
                <w:ilvl w:val="255"/>
                <w:numId w:val="0"/>
              </w:numPr>
              <w:jc w:val="center"/>
              <w:rPr>
                <w:rFonts w:ascii="宋体" w:hAnsi="宋体" w:cs="宋体"/>
              </w:rPr>
            </w:pPr>
            <w:r>
              <w:rPr>
                <w:rFonts w:hint="eastAsia" w:ascii="宋体" w:hAnsi="宋体" w:cs="宋体"/>
              </w:rPr>
              <w:t>0-10</w:t>
            </w:r>
          </w:p>
        </w:tc>
      </w:tr>
      <w:tr w14:paraId="673E7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l2br w:val="nil"/>
              <w:tr2bl w:val="nil"/>
            </w:tcBorders>
          </w:tcPr>
          <w:p w14:paraId="3F71491A">
            <w:pPr>
              <w:keepLines/>
              <w:numPr>
                <w:ilvl w:val="255"/>
                <w:numId w:val="0"/>
              </w:numPr>
              <w:jc w:val="center"/>
              <w:rPr>
                <w:rFonts w:ascii="宋体" w:hAnsi="宋体" w:cs="宋体"/>
              </w:rPr>
            </w:pPr>
          </w:p>
        </w:tc>
        <w:tc>
          <w:tcPr>
            <w:tcW w:w="6378" w:type="dxa"/>
            <w:tcBorders>
              <w:tl2br w:val="nil"/>
              <w:tr2bl w:val="nil"/>
            </w:tcBorders>
          </w:tcPr>
          <w:p w14:paraId="1C3BE0D7">
            <w:pPr>
              <w:keepLines/>
              <w:numPr>
                <w:ilvl w:val="255"/>
                <w:numId w:val="0"/>
              </w:numPr>
              <w:jc w:val="center"/>
              <w:rPr>
                <w:rFonts w:ascii="宋体" w:hAnsi="宋体" w:cs="宋体"/>
              </w:rPr>
            </w:pPr>
            <w:r>
              <w:rPr>
                <w:rFonts w:hint="eastAsia"/>
              </w:rPr>
              <w:t>酒香和药香香味浓郁协调，无异香</w:t>
            </w:r>
          </w:p>
        </w:tc>
        <w:tc>
          <w:tcPr>
            <w:tcW w:w="1706" w:type="dxa"/>
            <w:tcBorders>
              <w:tl2br w:val="nil"/>
              <w:tr2bl w:val="nil"/>
            </w:tcBorders>
          </w:tcPr>
          <w:p w14:paraId="2D6D452D">
            <w:pPr>
              <w:keepLines/>
              <w:numPr>
                <w:ilvl w:val="255"/>
                <w:numId w:val="0"/>
              </w:numPr>
              <w:jc w:val="center"/>
              <w:rPr>
                <w:rFonts w:ascii="宋体" w:hAnsi="宋体" w:cs="宋体"/>
              </w:rPr>
            </w:pPr>
            <w:r>
              <w:rPr>
                <w:rFonts w:hint="eastAsia" w:ascii="宋体" w:hAnsi="宋体" w:cs="宋体"/>
              </w:rPr>
              <w:t>26-40</w:t>
            </w:r>
          </w:p>
        </w:tc>
      </w:tr>
      <w:tr w14:paraId="12FE9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bottom w:val="nil"/>
            </w:tcBorders>
          </w:tcPr>
          <w:p w14:paraId="020E1C71">
            <w:pPr>
              <w:keepLines/>
              <w:numPr>
                <w:ilvl w:val="255"/>
                <w:numId w:val="0"/>
              </w:numPr>
              <w:jc w:val="center"/>
              <w:rPr>
                <w:rFonts w:ascii="宋体" w:hAnsi="宋体" w:cs="宋体"/>
              </w:rPr>
            </w:pPr>
            <w:r>
              <w:rPr>
                <w:rFonts w:hint="eastAsia" w:ascii="宋体" w:hAnsi="宋体" w:cs="宋体"/>
              </w:rPr>
              <w:t>香气</w:t>
            </w:r>
          </w:p>
        </w:tc>
        <w:tc>
          <w:tcPr>
            <w:tcW w:w="6378" w:type="dxa"/>
            <w:tcBorders>
              <w:bottom w:val="nil"/>
            </w:tcBorders>
          </w:tcPr>
          <w:p w14:paraId="57D24879">
            <w:pPr>
              <w:keepLines/>
              <w:numPr>
                <w:ilvl w:val="255"/>
                <w:numId w:val="0"/>
              </w:numPr>
              <w:jc w:val="center"/>
              <w:rPr>
                <w:rFonts w:ascii="宋体" w:hAnsi="宋体" w:cs="宋体"/>
              </w:rPr>
            </w:pPr>
            <w:r>
              <w:rPr>
                <w:rFonts w:hint="eastAsia" w:ascii="宋体" w:hAnsi="宋体" w:cs="宋体"/>
              </w:rPr>
              <w:t>香味不突出或香味单一</w:t>
            </w:r>
          </w:p>
        </w:tc>
        <w:tc>
          <w:tcPr>
            <w:tcW w:w="1706" w:type="dxa"/>
            <w:tcBorders>
              <w:bottom w:val="nil"/>
            </w:tcBorders>
          </w:tcPr>
          <w:p w14:paraId="31775017">
            <w:pPr>
              <w:keepLines/>
              <w:numPr>
                <w:ilvl w:val="255"/>
                <w:numId w:val="0"/>
              </w:numPr>
              <w:jc w:val="center"/>
              <w:rPr>
                <w:rFonts w:ascii="宋体" w:hAnsi="宋体" w:cs="宋体"/>
              </w:rPr>
            </w:pPr>
            <w:r>
              <w:rPr>
                <w:rFonts w:hint="eastAsia" w:ascii="宋体" w:hAnsi="宋体" w:cs="宋体"/>
              </w:rPr>
              <w:t>15-25</w:t>
            </w:r>
          </w:p>
        </w:tc>
      </w:tr>
      <w:tr w14:paraId="198EC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5" w:type="dxa"/>
            <w:tcBorders>
              <w:top w:val="nil"/>
              <w:bottom w:val="single" w:color="auto" w:sz="12" w:space="0"/>
            </w:tcBorders>
          </w:tcPr>
          <w:p w14:paraId="186E17A2">
            <w:pPr>
              <w:keepLines/>
              <w:numPr>
                <w:ilvl w:val="255"/>
                <w:numId w:val="0"/>
              </w:numPr>
              <w:jc w:val="center"/>
              <w:rPr>
                <w:rFonts w:ascii="宋体" w:hAnsi="宋体" w:cs="宋体"/>
              </w:rPr>
            </w:pPr>
          </w:p>
        </w:tc>
        <w:tc>
          <w:tcPr>
            <w:tcW w:w="6378" w:type="dxa"/>
            <w:tcBorders>
              <w:top w:val="nil"/>
              <w:bottom w:val="single" w:color="auto" w:sz="12" w:space="0"/>
            </w:tcBorders>
          </w:tcPr>
          <w:p w14:paraId="3EBF28C4">
            <w:pPr>
              <w:keepLines/>
              <w:numPr>
                <w:ilvl w:val="255"/>
                <w:numId w:val="0"/>
              </w:numPr>
              <w:jc w:val="center"/>
              <w:rPr>
                <w:rFonts w:ascii="宋体" w:hAnsi="宋体" w:cs="宋体"/>
              </w:rPr>
            </w:pPr>
            <w:r>
              <w:rPr>
                <w:rFonts w:hint="eastAsia" w:ascii="宋体" w:hAnsi="宋体" w:cs="宋体"/>
              </w:rPr>
              <w:t>香味不协调或几乎无药香味</w:t>
            </w:r>
          </w:p>
        </w:tc>
        <w:tc>
          <w:tcPr>
            <w:tcW w:w="1706" w:type="dxa"/>
            <w:tcBorders>
              <w:top w:val="nil"/>
              <w:bottom w:val="single" w:color="auto" w:sz="12" w:space="0"/>
            </w:tcBorders>
          </w:tcPr>
          <w:p w14:paraId="6A7DDF0F">
            <w:pPr>
              <w:keepLines/>
              <w:numPr>
                <w:ilvl w:val="255"/>
                <w:numId w:val="0"/>
              </w:numPr>
              <w:jc w:val="center"/>
              <w:rPr>
                <w:rFonts w:ascii="宋体" w:hAnsi="宋体" w:cs="宋体"/>
              </w:rPr>
            </w:pPr>
            <w:r>
              <w:rPr>
                <w:rFonts w:hint="eastAsia" w:ascii="宋体" w:hAnsi="宋体" w:cs="宋体"/>
              </w:rPr>
              <w:t>0-14</w:t>
            </w:r>
          </w:p>
        </w:tc>
      </w:tr>
    </w:tbl>
    <w:p w14:paraId="0B38F53C">
      <w:pPr>
        <w:pStyle w:val="4"/>
      </w:pPr>
      <w:r>
        <w:rPr>
          <w:rFonts w:hint="eastAsia"/>
        </w:rPr>
        <w:t>1.3.11 数据处理与分析</w:t>
      </w:r>
    </w:p>
    <w:p w14:paraId="6438953F">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使用Excel对数据进行收集处理，结果以平均值±标准差展示；并使用GraphPad Prism 8进行绘图和差异性分析。</w:t>
      </w:r>
    </w:p>
    <w:p w14:paraId="5947DE6C">
      <w:pPr>
        <w:numPr>
          <w:ilvl w:val="255"/>
          <w:numId w:val="0"/>
        </w:numPr>
        <w:spacing w:line="500" w:lineRule="exact"/>
        <w:ind w:left="488"/>
        <w:jc w:val="left"/>
        <w:rPr>
          <w:rFonts w:ascii="宋体" w:hAnsi="宋体"/>
          <w:b/>
          <w:sz w:val="24"/>
        </w:rPr>
      </w:pPr>
    </w:p>
    <w:p w14:paraId="3AF12EB6">
      <w:pPr>
        <w:pStyle w:val="3"/>
      </w:pPr>
      <w:bookmarkStart w:id="9" w:name="_Toc20185"/>
      <w:bookmarkStart w:id="10" w:name="_Toc19193"/>
      <w:r>
        <w:rPr>
          <w:rFonts w:hint="eastAsia"/>
        </w:rPr>
        <w:t>2 综述报告</w:t>
      </w:r>
    </w:p>
    <w:p w14:paraId="5A42F968">
      <w:pPr>
        <w:pStyle w:val="3"/>
        <w:rPr>
          <w:rFonts w:ascii="宋体" w:hAnsi="宋体" w:cs="宋体"/>
          <w:szCs w:val="28"/>
        </w:rPr>
      </w:pPr>
      <w:r>
        <w:rPr>
          <w:rFonts w:hint="eastAsia"/>
        </w:rPr>
        <w:t>2.1不同处理条件下五指毛桃养生露酒的功能特性</w:t>
      </w:r>
      <w:bookmarkEnd w:id="9"/>
      <w:bookmarkEnd w:id="10"/>
    </w:p>
    <w:p w14:paraId="2511EAE7">
      <w:pPr>
        <w:pStyle w:val="4"/>
      </w:pPr>
      <w:r>
        <w:rPr>
          <w:rFonts w:hint="eastAsia"/>
        </w:rPr>
        <w:t>2.1.1不同处理条件对五指毛桃养生露酒抗氧化活性的影响</w:t>
      </w:r>
    </w:p>
    <w:p w14:paraId="70943D18">
      <w:r>
        <w:rPr>
          <w:rFonts w:hint="eastAsia"/>
        </w:rPr>
        <w:drawing>
          <wp:inline distT="0" distB="0" distL="0" distR="0">
            <wp:extent cx="5687060" cy="4429125"/>
            <wp:effectExtent l="0" t="0" r="8890" b="9525"/>
            <wp:docPr id="1030" name="图片 1" descr="DPPH(1)"/>
            <wp:cNvGraphicFramePr/>
            <a:graphic xmlns:a="http://schemas.openxmlformats.org/drawingml/2006/main">
              <a:graphicData uri="http://schemas.openxmlformats.org/drawingml/2006/picture">
                <pic:pic xmlns:pic="http://schemas.openxmlformats.org/drawingml/2006/picture">
                  <pic:nvPicPr>
                    <pic:cNvPr id="1030" name="图片 1" descr="DPPH(1)"/>
                    <pic:cNvPicPr/>
                  </pic:nvPicPr>
                  <pic:blipFill>
                    <a:blip r:embed="rId8" cstate="print"/>
                    <a:srcRect/>
                    <a:stretch>
                      <a:fillRect/>
                    </a:stretch>
                  </pic:blipFill>
                  <pic:spPr>
                    <a:xfrm>
                      <a:off x="0" y="0"/>
                      <a:ext cx="5687060" cy="4429125"/>
                    </a:xfrm>
                    <a:prstGeom prst="rect">
                      <a:avLst/>
                    </a:prstGeom>
                  </pic:spPr>
                </pic:pic>
              </a:graphicData>
            </a:graphic>
          </wp:inline>
        </w:drawing>
      </w:r>
    </w:p>
    <w:p w14:paraId="7854850C">
      <w:pPr>
        <w:jc w:val="center"/>
        <w:rPr>
          <w:sz w:val="24"/>
        </w:rPr>
      </w:pPr>
      <w:r>
        <w:rPr>
          <w:rFonts w:hint="eastAsia"/>
          <w:sz w:val="24"/>
        </w:rPr>
        <w:t>图2-1 不同浸泡时间及添加量的五指毛桃养生露酒DPPH测定结果</w:t>
      </w:r>
    </w:p>
    <w:p w14:paraId="08BF6476">
      <w:pPr>
        <w:ind w:firstLine="420"/>
        <w:jc w:val="center"/>
        <w:rPr>
          <w:sz w:val="24"/>
        </w:rPr>
      </w:pPr>
      <w:r>
        <w:rPr>
          <w:rFonts w:hint="eastAsia"/>
          <w:sz w:val="24"/>
        </w:rPr>
        <w:t xml:space="preserve">Fig 2-1. DPPH determination results of different processing conditions of </w:t>
      </w:r>
      <w:r>
        <w:rPr>
          <w:rFonts w:hint="eastAsia"/>
          <w:i/>
          <w:iCs/>
          <w:sz w:val="24"/>
        </w:rPr>
        <w:t xml:space="preserve">Ficus hirta </w:t>
      </w:r>
      <w:r>
        <w:rPr>
          <w:rFonts w:hint="eastAsia"/>
          <w:sz w:val="24"/>
        </w:rPr>
        <w:t>liquor</w:t>
      </w:r>
    </w:p>
    <w:p w14:paraId="1B49D90C">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注：abcd为显著性（p＜0.05）标记，不同字母代表有显著性差异。其中大写字母ABCD代表不同的浸泡时间，分别为10 d、20 d、30 d、40 d。下图同。</w:t>
      </w:r>
    </w:p>
    <w:p w14:paraId="5ACFB58E">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由图2-1可知，在相同条件下，随着烘烤温度的增加，在添加量为4 g/100 mL的组中DPPH清除率在40℃组达到最大值，且与60℃组有明显的差异性（p&lt;0.05），在其他的添加量中，DPPH清除率普遍呈现先增加后降低的变化规律，当烘烤温度为50℃时达到了最大值，但在同一添加量条件下，相比60℃和70℃组无显著性差异。随着五指毛桃添加量的增加，DPPH的清除率总体呈现上升的趋势，普遍在添加量为16 g/100 mL时达到最大值。随着浸泡时间的增加，DPPH的清除率无明显变化的规律，差异性不显著。</w:t>
      </w:r>
    </w:p>
    <w:p w14:paraId="7DC50EB6">
      <w:r>
        <w:rPr>
          <w:rFonts w:hint="eastAsia"/>
        </w:rPr>
        <w:drawing>
          <wp:inline distT="0" distB="0" distL="0" distR="0">
            <wp:extent cx="5687695" cy="4110990"/>
            <wp:effectExtent l="0" t="0" r="8255" b="3810"/>
            <wp:docPr id="1031" name="图片 4" descr="羟基自由基1"/>
            <wp:cNvGraphicFramePr/>
            <a:graphic xmlns:a="http://schemas.openxmlformats.org/drawingml/2006/main">
              <a:graphicData uri="http://schemas.openxmlformats.org/drawingml/2006/picture">
                <pic:pic xmlns:pic="http://schemas.openxmlformats.org/drawingml/2006/picture">
                  <pic:nvPicPr>
                    <pic:cNvPr id="1031" name="图片 4" descr="羟基自由基1"/>
                    <pic:cNvPicPr/>
                  </pic:nvPicPr>
                  <pic:blipFill>
                    <a:blip r:embed="rId9" cstate="print"/>
                    <a:srcRect/>
                    <a:stretch>
                      <a:fillRect/>
                    </a:stretch>
                  </pic:blipFill>
                  <pic:spPr>
                    <a:xfrm>
                      <a:off x="0" y="0"/>
                      <a:ext cx="5687695" cy="4110990"/>
                    </a:xfrm>
                    <a:prstGeom prst="rect">
                      <a:avLst/>
                    </a:prstGeom>
                  </pic:spPr>
                </pic:pic>
              </a:graphicData>
            </a:graphic>
          </wp:inline>
        </w:drawing>
      </w:r>
    </w:p>
    <w:p w14:paraId="19F20B03">
      <w:pPr>
        <w:jc w:val="center"/>
        <w:rPr>
          <w:sz w:val="24"/>
        </w:rPr>
      </w:pPr>
      <w:r>
        <w:rPr>
          <w:rFonts w:hint="eastAsia"/>
          <w:sz w:val="24"/>
        </w:rPr>
        <w:t>图2-2 不同浸泡时间及添加量的五指毛桃养生露酒羟自由基测定结果</w:t>
      </w:r>
    </w:p>
    <w:p w14:paraId="4E2D724E">
      <w:pPr>
        <w:ind w:firstLine="420"/>
        <w:jc w:val="center"/>
        <w:rPr>
          <w:sz w:val="24"/>
        </w:rPr>
      </w:pPr>
      <w:r>
        <w:rPr>
          <w:rFonts w:hint="eastAsia"/>
          <w:sz w:val="24"/>
        </w:rPr>
        <w:t>Fig 2-2. Hydroxyl radical determination results of different processing conditions of Ficus hirta liquor</w:t>
      </w:r>
    </w:p>
    <w:p w14:paraId="7316799C">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由图2-2可知，随着五指毛桃添加量的增加，羟自由基的清除率呈上升趋势，但与浸泡温度和浸泡时间无明显规律；在浸泡时间达到20天以后，随着烘烤温度的上升，羟自由基清除率呈下降趋势。</w:t>
      </w:r>
    </w:p>
    <w:p w14:paraId="796E558B">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由图2—2A可知，随着烘烤温度的增加，当五指毛桃添加量为4 g/100 mL时，羟自由基的清除率在70 时达到最大值；当五指毛桃添加量为8 g/100 mL时，羟自由基的清除率在50℃时达到最大值，与40℃时有显著性差异；当五指毛桃添加量为12 g/100 mL时，羟自由基的清除率在40℃时达到最大值，与60℃组有显著性差异；当五指毛桃添加量为16 g/100 mL时，羟自由基的清除率在40℃时达到最大值与其他温度都有显著性差异。</w:t>
      </w:r>
    </w:p>
    <w:p w14:paraId="3E858435">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由图2-2B可知，当五指毛桃添加量为4 g/100 mL时，羟自由基的清除率在60℃时达到最大值，与60℃时有显著性差异；当五指毛桃添加量为8 g/100 mL时，羟自由基的清除率在40℃时达到最大值；当五指毛桃添加量为12 g/100 mL时，与图2A中结果相同；当五指毛桃添加量为16 g/100 mL时，羟自由基的清除率在40℃ 时达到最大值。</w:t>
      </w:r>
    </w:p>
    <w:p w14:paraId="1DAAC68A">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由图2—2C可知，当五指毛桃添加量为4 g/100 mL时，羟自由基的清除率在40℃时达到最大值，与其他温度时都有显著性差异；当五指毛桃添加量为8 g/100 mL时，羟自由基的清除率在40℃时达到最大值，与60和70℃时有显著性差异；当五指毛桃添加量为12 g/100 mL时，羟自由基的清除率在40℃时达到最大值与其他温度时都有显著性差异；当五指毛桃添加量为16 g/100 mL时，结果与图2A相同。</w:t>
      </w:r>
    </w:p>
    <w:p w14:paraId="15D98591">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由图2-2D可知，当五指毛桃添加量为4 g/100 mL时，羟自由基的清除率在40℃时达到最大值，与60℃时有显著性差异；当五指毛桃添加量为8 g/100 mL和12 g/100 mL时，羟自由基的清除率在40℃组时达到最大值，显著高于其他温度时的清除率；当五指毛桃添加量为16 g/100 mL时，结果与图2A相同。</w:t>
      </w:r>
    </w:p>
    <w:p w14:paraId="25BE69DA">
      <w:r>
        <w:rPr>
          <w:rFonts w:hint="eastAsia"/>
        </w:rPr>
        <w:drawing>
          <wp:inline distT="0" distB="0" distL="0" distR="0">
            <wp:extent cx="5682615" cy="4480560"/>
            <wp:effectExtent l="0" t="0" r="13335" b="15240"/>
            <wp:docPr id="1032" name="图片 2" descr="布局2"/>
            <wp:cNvGraphicFramePr/>
            <a:graphic xmlns:a="http://schemas.openxmlformats.org/drawingml/2006/main">
              <a:graphicData uri="http://schemas.openxmlformats.org/drawingml/2006/picture">
                <pic:pic xmlns:pic="http://schemas.openxmlformats.org/drawingml/2006/picture">
                  <pic:nvPicPr>
                    <pic:cNvPr id="1032" name="图片 2" descr="布局2"/>
                    <pic:cNvPicPr/>
                  </pic:nvPicPr>
                  <pic:blipFill>
                    <a:blip r:embed="rId10" cstate="print"/>
                    <a:srcRect/>
                    <a:stretch>
                      <a:fillRect/>
                    </a:stretch>
                  </pic:blipFill>
                  <pic:spPr>
                    <a:xfrm>
                      <a:off x="0" y="0"/>
                      <a:ext cx="5682615" cy="4480560"/>
                    </a:xfrm>
                    <a:prstGeom prst="rect">
                      <a:avLst/>
                    </a:prstGeom>
                  </pic:spPr>
                </pic:pic>
              </a:graphicData>
            </a:graphic>
          </wp:inline>
        </w:drawing>
      </w:r>
    </w:p>
    <w:p w14:paraId="38BCF52D">
      <w:pPr>
        <w:jc w:val="center"/>
        <w:rPr>
          <w:sz w:val="24"/>
        </w:rPr>
      </w:pPr>
      <w:r>
        <w:rPr>
          <w:rFonts w:hint="eastAsia"/>
          <w:sz w:val="24"/>
        </w:rPr>
        <w:t>图2-3不同浸泡时间及添加量的五指毛桃养生露酒ABTS测定结果</w:t>
      </w:r>
    </w:p>
    <w:p w14:paraId="2B9153F5">
      <w:pPr>
        <w:ind w:firstLine="420"/>
        <w:jc w:val="center"/>
        <w:rPr>
          <w:sz w:val="24"/>
        </w:rPr>
      </w:pPr>
      <w:r>
        <w:rPr>
          <w:rFonts w:hint="eastAsia"/>
          <w:sz w:val="24"/>
        </w:rPr>
        <w:t>Fig 2-3. ABTS determination results of different processing conditions of Ficus hirta liquor</w:t>
      </w:r>
    </w:p>
    <w:p w14:paraId="0EDEA0FC">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由图2-3可知，随着五指毛桃添加量的增加，ABTS的清除率呈下降趋势，但与烘烤温度和浸泡时间无明显规律。</w:t>
      </w:r>
    </w:p>
    <w:p w14:paraId="503C516D">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由图2—3A可知，当五指毛桃添加量为4 g/100 mL和8 g/100 mL时，ABTS的清除率在40℃ 时达到最大值，与60℃组有显著性差异；当五指毛桃添加量为12 g/100 mL时，ABTS清除率在60℃组达到最大值，与40℃组有显著性差异；当五指毛桃添加量为16 g/100 mL时，ABTS清除率在50℃ 组达到最大值，与40℃组有显著性差异。</w:t>
      </w:r>
    </w:p>
    <w:p w14:paraId="3404CD47">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由图2-3B可知，当五指毛桃添加量为4 g/100 mL时，ABTS清除率在50℃ 时达到最大值，与60和70℃ 组有显著性差异；当五指毛桃添加量为8 g/100 mL时，ABTS清除率在40℃组达到最大值，与50℃组有显著性差异；当五指毛桃添加量为12g/100 mL时，ABTS清除率在40℃组达到最大值，无显著性差异；当五指毛桃添加量为16 g/100 mL时，ABTS清除率在70℃组达到最大值，无显著性差异。</w:t>
      </w:r>
    </w:p>
    <w:p w14:paraId="0F3F1ADC">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由图2—3C可知，当五指毛桃添加量为4 g/100 mL时，ABTS清除率在70℃时达到最大值，显著性高于其他温度时的清除率；当五指毛桃添加量为8 g/100 mL时，ABTS清除率在60℃组达到最大值，与40℃和50℃组有显著性差异；当五指毛桃添加量为12 g/100 mL时，ABTS清除率在60℃ 组达到最大值，与40℃和70℃组有显著性差异；当五指毛桃添加量为16 g/100 mL时，ABTS清除率在60℃组达到最大值，与40和50℃ 组有显著性差异。</w:t>
      </w:r>
    </w:p>
    <w:p w14:paraId="7D4C0E6B">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由图2-3D可知，当五指毛桃添加量为4 g/100 mL时，ABTS清除率在70℃组达到最大值，与40℃组有显著性差异；当五指毛桃添加量为8 g/100 mL时，ABTS清除率在60℃组达到最大值，与40℃组有显著性差异；当五指毛桃添加量为12 g/100 mL时，结果与图3C相同；当五指毛桃添加量为16 g/100 mL时，ABTS清除率在60℃时达到最大值，与40℃组有显著性差异。</w:t>
      </w:r>
    </w:p>
    <w:p w14:paraId="2E15E521">
      <w:pPr>
        <w:pStyle w:val="4"/>
      </w:pPr>
      <w:r>
        <w:rPr>
          <w:rFonts w:hint="eastAsia"/>
        </w:rPr>
        <w:t>2.1.</w:t>
      </w:r>
      <w:bookmarkStart w:id="11" w:name="OLE_LINK2"/>
      <w:r>
        <w:rPr>
          <w:rFonts w:hint="eastAsia"/>
        </w:rPr>
        <w:t>2不同处理条件对五指毛桃养生露酒</w:t>
      </w:r>
      <w:bookmarkEnd w:id="11"/>
      <w:r>
        <w:rPr>
          <w:rFonts w:hint="eastAsia"/>
        </w:rPr>
        <w:t>功效成分含量的影响</w:t>
      </w:r>
    </w:p>
    <w:p w14:paraId="60CC1CEC">
      <w:r>
        <w:drawing>
          <wp:inline distT="0" distB="0" distL="0" distR="0">
            <wp:extent cx="5687060" cy="4356735"/>
            <wp:effectExtent l="0" t="0" r="8890" b="5715"/>
            <wp:docPr id="1033" name="图片 7" descr="黄酮"/>
            <wp:cNvGraphicFramePr/>
            <a:graphic xmlns:a="http://schemas.openxmlformats.org/drawingml/2006/main">
              <a:graphicData uri="http://schemas.openxmlformats.org/drawingml/2006/picture">
                <pic:pic xmlns:pic="http://schemas.openxmlformats.org/drawingml/2006/picture">
                  <pic:nvPicPr>
                    <pic:cNvPr id="1033" name="图片 7" descr="黄酮"/>
                    <pic:cNvPicPr/>
                  </pic:nvPicPr>
                  <pic:blipFill>
                    <a:blip r:embed="rId11" cstate="print"/>
                    <a:srcRect/>
                    <a:stretch>
                      <a:fillRect/>
                    </a:stretch>
                  </pic:blipFill>
                  <pic:spPr>
                    <a:xfrm>
                      <a:off x="0" y="0"/>
                      <a:ext cx="5687060" cy="4356735"/>
                    </a:xfrm>
                    <a:prstGeom prst="rect">
                      <a:avLst/>
                    </a:prstGeom>
                  </pic:spPr>
                </pic:pic>
              </a:graphicData>
            </a:graphic>
          </wp:inline>
        </w:drawing>
      </w:r>
    </w:p>
    <w:p w14:paraId="0320F1FA">
      <w:pPr>
        <w:jc w:val="center"/>
        <w:rPr>
          <w:sz w:val="24"/>
          <w:szCs w:val="21"/>
        </w:rPr>
      </w:pPr>
      <w:r>
        <w:rPr>
          <w:rFonts w:hint="eastAsia"/>
          <w:sz w:val="24"/>
          <w:szCs w:val="21"/>
        </w:rPr>
        <w:t>图2-4 不同浸泡时间及添加量的五指毛桃养生露酒总黄酮含量测定结果</w:t>
      </w:r>
    </w:p>
    <w:p w14:paraId="1EDB124A">
      <w:pPr>
        <w:ind w:firstLine="420"/>
        <w:jc w:val="center"/>
        <w:rPr>
          <w:sz w:val="24"/>
        </w:rPr>
      </w:pPr>
      <w:r>
        <w:rPr>
          <w:rFonts w:hint="eastAsia"/>
          <w:sz w:val="24"/>
        </w:rPr>
        <w:t>Fig2-4 Flavonoid content determination results of different processing conditions of Ficus hirta liquor</w:t>
      </w:r>
    </w:p>
    <w:p w14:paraId="204EB0EE">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由图2-4可知，随着五指毛桃添加量的增加，总黄酮含量呈上升的趋势；随着烘烤温度的增加，总黄酮含量呈先降后升的趋势；随着浸提时间的增加，总黄酮含量呈上升的趋势。</w:t>
      </w:r>
    </w:p>
    <w:p w14:paraId="1A2470AE">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由图2—4A可知，在相同条件下，随着温度的增加，当五指毛桃添加量为4 g/100 mL时，总黄酮含量在50℃时达到最大值，无显著性差异；当五指毛桃添加量为8 g/100 mL时，总黄酮含量在40℃时达到最大值，与50℃和60℃组有显著性差异；当五指毛桃添加量为12 g/100 mL和16 g/100 mL时，总黄酮含量在40℃组达到最大值，显著高于其他烘烤温度时的总黄酮含量。</w:t>
      </w:r>
    </w:p>
    <w:p w14:paraId="314415B7">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由图2-4B可知，当五指毛桃添加量为4 g/100 mL时，总黄酮含量在70℃时达到最大值，无显著性差异；其他添加量结果与图4A相同。</w:t>
      </w:r>
    </w:p>
    <w:p w14:paraId="3EAAA6CA">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由图2—4C可知，当五指毛桃添加量为4 g/100 mL时，总黄酮含量在50℃时达到最大值，显著高于其烘烤温度时的总黄酮含量；当五指毛桃添加量为8 g/100 mL和12 g/100 mL时，总黄酮含量在40℃时达到最大值，与40℃和50℃时有显著性差异；当五指毛桃添加量为16 g/100 mL时，结果与图4A相同。</w:t>
      </w:r>
    </w:p>
    <w:p w14:paraId="4912E0F9">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由图2-4D可知，当五指毛桃添加量为4 g/100 mL时，总黄酮含量在40℃时达到最大值，无显著性差异。当五指毛桃添加量为8 g/100 mL和16 g/100 mL时，结果与图4A相同；当五指毛桃添加量为12 g/ 100mL时，总黄酮含量在40℃时达到最大值，与50和60℃组有显著性差异。</w:t>
      </w:r>
    </w:p>
    <w:p w14:paraId="75C9986F">
      <w:r>
        <w:drawing>
          <wp:inline distT="0" distB="0" distL="0" distR="0">
            <wp:extent cx="5663565" cy="4198620"/>
            <wp:effectExtent l="0" t="0" r="13335" b="11430"/>
            <wp:docPr id="1034" name="图片 8" descr="总多酚"/>
            <wp:cNvGraphicFramePr/>
            <a:graphic xmlns:a="http://schemas.openxmlformats.org/drawingml/2006/main">
              <a:graphicData uri="http://schemas.openxmlformats.org/drawingml/2006/picture">
                <pic:pic xmlns:pic="http://schemas.openxmlformats.org/drawingml/2006/picture">
                  <pic:nvPicPr>
                    <pic:cNvPr id="1034" name="图片 8" descr="总多酚"/>
                    <pic:cNvPicPr/>
                  </pic:nvPicPr>
                  <pic:blipFill>
                    <a:blip r:embed="rId12" cstate="print"/>
                    <a:srcRect/>
                    <a:stretch>
                      <a:fillRect/>
                    </a:stretch>
                  </pic:blipFill>
                  <pic:spPr>
                    <a:xfrm>
                      <a:off x="0" y="0"/>
                      <a:ext cx="5663565" cy="4198620"/>
                    </a:xfrm>
                    <a:prstGeom prst="rect">
                      <a:avLst/>
                    </a:prstGeom>
                  </pic:spPr>
                </pic:pic>
              </a:graphicData>
            </a:graphic>
          </wp:inline>
        </w:drawing>
      </w:r>
    </w:p>
    <w:p w14:paraId="3C98082E">
      <w:pPr>
        <w:jc w:val="center"/>
        <w:rPr>
          <w:sz w:val="24"/>
          <w:szCs w:val="21"/>
        </w:rPr>
      </w:pPr>
      <w:r>
        <w:rPr>
          <w:rFonts w:hint="eastAsia"/>
          <w:sz w:val="24"/>
          <w:szCs w:val="21"/>
        </w:rPr>
        <w:t>图2-5 不同浸泡时间及添加量的五指毛桃养生露酒总多酚含量测定结果</w:t>
      </w:r>
    </w:p>
    <w:p w14:paraId="195337BD">
      <w:pPr>
        <w:ind w:firstLine="420"/>
        <w:jc w:val="center"/>
        <w:rPr>
          <w:sz w:val="24"/>
        </w:rPr>
      </w:pPr>
      <w:r>
        <w:rPr>
          <w:rFonts w:hint="eastAsia"/>
          <w:sz w:val="24"/>
        </w:rPr>
        <w:t>Fig 2-5. Total polyphenol content determination results of different processing conditions of Ficus hirta liquor</w:t>
      </w:r>
    </w:p>
    <w:p w14:paraId="3D1D3750">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由图2-5可知，随着五指毛桃添加量的增加，总多酚含量呈上升的趋势；随着烘烤温度的增加，总多酚含量呈先降后升的趋势；随着浸提时间的增加，总多酚含量呈上升的趋势。</w:t>
      </w:r>
    </w:p>
    <w:p w14:paraId="3AB437D6">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由图2—5A可知，当五指毛桃添加量为4 g/100 mL时，总多酚含量在40℃时达到最大值，无显著性差异；当五指毛桃添加量为8 g/100 mL时，总多酚含量在40℃时达到最大值，与60℃组有显著性差异；当五指毛桃添加量为12 g/100 mL时，总多酚含量在40℃时达到最大值，与60和70℃组有显著差异；当五指毛桃添加量为16 g/100 mL时，总多酚含量在40℃时达到最大值，显著高于其他烘烤温度时的总多酚含量。</w:t>
      </w:r>
    </w:p>
    <w:p w14:paraId="38A0FC28">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由图2-5B可知，当五指毛桃添加量为4 g/100 mL和16 g/100 mL时，结果与图5A相同；当五指毛桃添加量为8 g/100 mL和12 g/100 mL时，总多酚含量在40 ℃时达到最大值，与60℃组有显著性差异。</w:t>
      </w:r>
    </w:p>
    <w:p w14:paraId="3FF7AB3C">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由图2—5C可知，当五指毛桃添加量为4 g/100 mL时，总多酚含量在40 ℃时达到最大值，与60℃组有显著性差异；当五指毛桃添加量为8 g/100 mL时，结果与图5B相同；当五指毛桃添加量为12 g/100 mL时，总多酚含量在40℃ 时达到最大值，与50 ℃和60 ℃组有显著性差异；当五指毛桃添加量为16 g/100 mL时，总多酚含量在40℃时达到最大值，与60 ℃和70 ℃组有显著性差异。</w:t>
      </w:r>
    </w:p>
    <w:p w14:paraId="08733012">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由图2-5D可知，当五指毛桃添加量为4 g/100 mL时，结果与图5C相同；当五指毛桃添加量为8 g/100 mL时，总多酚含量在40℃时达到最大值，与50℃和60℃时有显著差异；当五指毛桃添加量为12 g/100 mL和16g/100mL时，总多酚含量在40℃时达到最大值，显著高于其他烘烤温度时的总多酚含量。</w:t>
      </w:r>
    </w:p>
    <w:p w14:paraId="45957A1E">
      <w:pPr>
        <w:pStyle w:val="3"/>
      </w:pPr>
      <w:bookmarkStart w:id="12" w:name="_Toc10035"/>
      <w:bookmarkStart w:id="13" w:name="_Toc2225"/>
      <w:bookmarkStart w:id="14" w:name="_Toc3104"/>
      <w:r>
        <w:rPr>
          <w:rFonts w:hint="eastAsia"/>
        </w:rPr>
        <w:t>2</w:t>
      </w:r>
      <w:r>
        <w:t>.2 不同处理条件下五指毛桃养生</w:t>
      </w:r>
      <w:r>
        <w:rPr>
          <w:rFonts w:hint="eastAsia"/>
        </w:rPr>
        <w:t>露</w:t>
      </w:r>
      <w:r>
        <w:t>酒的感官特征</w:t>
      </w:r>
      <w:bookmarkEnd w:id="12"/>
      <w:bookmarkEnd w:id="13"/>
      <w:bookmarkEnd w:id="14"/>
    </w:p>
    <w:p w14:paraId="23E17857">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感官评价作为对酒体风味评价最简捷、最常用的方法之一，在这方面发挥着关键 作用。酒类感官评价的指标主要包括酒体的香气、酒样的口感和滋味，以及酒样整体风格等方面的评价。由以下采用色差法对酒样进行分析的结果和感官评价人员对酒样的外观、色泽、香气三个方面进行评价的结果可知，五指毛桃的烘烤温度和添加量越大，色泽越深，感官评分也越高。</w:t>
      </w:r>
    </w:p>
    <w:p w14:paraId="328F4304">
      <w:pPr>
        <w:pStyle w:val="4"/>
      </w:pPr>
      <w:r>
        <w:rPr>
          <w:rFonts w:hint="eastAsia"/>
        </w:rPr>
        <w:t>2.2.1 不同处理条件对五指毛桃</w:t>
      </w:r>
      <w:bookmarkStart w:id="15" w:name="OLE_LINK1"/>
      <w:r>
        <w:rPr>
          <w:rFonts w:hint="eastAsia"/>
        </w:rPr>
        <w:t>养生</w:t>
      </w:r>
      <w:bookmarkEnd w:id="15"/>
      <w:r>
        <w:rPr>
          <w:rFonts w:hint="eastAsia"/>
        </w:rPr>
        <w:t>露酒颜色的影响</w:t>
      </w:r>
    </w:p>
    <w:p w14:paraId="7C17A04C">
      <w:pPr>
        <w:jc w:val="center"/>
        <w:rPr>
          <w:sz w:val="24"/>
          <w:szCs w:val="21"/>
        </w:rPr>
      </w:pPr>
      <w:r>
        <w:rPr>
          <w:rFonts w:hint="eastAsia"/>
          <w:sz w:val="24"/>
          <w:szCs w:val="21"/>
        </w:rPr>
        <w:t>表 6 不同处理对五指毛桃露酒色度值的影响</w:t>
      </w:r>
    </w:p>
    <w:p w14:paraId="0F469317">
      <w:pPr>
        <w:ind w:firstLine="420"/>
        <w:jc w:val="center"/>
        <w:rPr>
          <w:sz w:val="24"/>
        </w:rPr>
      </w:pPr>
      <w:r>
        <w:rPr>
          <w:rFonts w:hint="eastAsia"/>
          <w:sz w:val="24"/>
        </w:rPr>
        <w:t>Table 6: Effects of Different Treatments on the Color Value of Ficus hirta</w:t>
      </w:r>
    </w:p>
    <w:p w14:paraId="6C2C5FE9">
      <w:pPr>
        <w:ind w:firstLine="420"/>
        <w:jc w:val="center"/>
        <w:rPr>
          <w:sz w:val="24"/>
        </w:rPr>
      </w:pPr>
      <w:r>
        <w:rPr>
          <w:rFonts w:hint="eastAsia"/>
          <w:sz w:val="24"/>
        </w:rPr>
        <w:t>liquor</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703"/>
        <w:gridCol w:w="945"/>
        <w:gridCol w:w="1617"/>
        <w:gridCol w:w="1475"/>
        <w:gridCol w:w="1540"/>
        <w:gridCol w:w="1540"/>
      </w:tblGrid>
      <w:tr w14:paraId="7C23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tcBorders>
              <w:top w:val="single" w:color="000000" w:sz="12" w:space="0"/>
              <w:left w:val="nil"/>
              <w:bottom w:val="single" w:color="auto" w:sz="4" w:space="0"/>
              <w:right w:val="nil"/>
              <w:tl2br w:val="nil"/>
            </w:tcBorders>
            <w:shd w:val="clear" w:color="auto" w:fill="FFFFFF"/>
            <w:vAlign w:val="center"/>
          </w:tcPr>
          <w:p w14:paraId="00C45852">
            <w:pPr>
              <w:jc w:val="center"/>
              <w:rPr>
                <w:color w:val="000000"/>
              </w:rPr>
            </w:pPr>
            <w:r>
              <w:rPr>
                <w:rFonts w:hint="eastAsia"/>
                <w:color w:val="000000"/>
              </w:rPr>
              <w:t>色差</w:t>
            </w:r>
          </w:p>
        </w:tc>
        <w:tc>
          <w:tcPr>
            <w:tcW w:w="412" w:type="pct"/>
            <w:tcBorders>
              <w:top w:val="single" w:color="000000" w:sz="12" w:space="0"/>
              <w:left w:val="nil"/>
              <w:bottom w:val="single" w:color="auto" w:sz="4" w:space="0"/>
              <w:right w:val="nil"/>
            </w:tcBorders>
            <w:shd w:val="clear" w:color="auto" w:fill="FFFFFF"/>
            <w:vAlign w:val="center"/>
          </w:tcPr>
          <w:p w14:paraId="4EC02247">
            <w:pPr>
              <w:spacing w:line="360" w:lineRule="auto"/>
              <w:jc w:val="center"/>
              <w:rPr>
                <w:color w:val="000000"/>
              </w:rPr>
            </w:pPr>
            <w:r>
              <w:rPr>
                <w:rFonts w:hint="eastAsia"/>
                <w:color w:val="000000"/>
              </w:rPr>
              <w:t>时间</w:t>
            </w:r>
          </w:p>
        </w:tc>
        <w:tc>
          <w:tcPr>
            <w:tcW w:w="554" w:type="pct"/>
            <w:tcBorders>
              <w:top w:val="single" w:color="000000" w:sz="12" w:space="0"/>
              <w:left w:val="nil"/>
              <w:bottom w:val="single" w:color="auto" w:sz="4" w:space="0"/>
              <w:right w:val="nil"/>
            </w:tcBorders>
            <w:shd w:val="clear" w:color="auto" w:fill="FFFFFF"/>
            <w:vAlign w:val="center"/>
          </w:tcPr>
          <w:p w14:paraId="263B96FC">
            <w:pPr>
              <w:spacing w:line="360" w:lineRule="auto"/>
              <w:jc w:val="center"/>
              <w:rPr>
                <w:color w:val="000000"/>
              </w:rPr>
            </w:pPr>
            <w:r>
              <w:rPr>
                <w:rFonts w:hint="eastAsia"/>
                <w:color w:val="000000"/>
              </w:rPr>
              <w:t>添加量</w:t>
            </w:r>
          </w:p>
        </w:tc>
        <w:tc>
          <w:tcPr>
            <w:tcW w:w="948" w:type="pct"/>
            <w:tcBorders>
              <w:top w:val="single" w:color="000000" w:sz="12" w:space="0"/>
              <w:left w:val="nil"/>
              <w:bottom w:val="single" w:color="auto" w:sz="4" w:space="0"/>
              <w:right w:val="nil"/>
            </w:tcBorders>
            <w:shd w:val="clear" w:color="auto" w:fill="FFFFFF"/>
            <w:vAlign w:val="center"/>
          </w:tcPr>
          <w:p w14:paraId="44E53E58">
            <w:pPr>
              <w:jc w:val="center"/>
              <w:rPr>
                <w:color w:val="000000"/>
              </w:rPr>
            </w:pPr>
            <w:r>
              <w:rPr>
                <w:rFonts w:hint="eastAsia"/>
                <w:color w:val="000000"/>
              </w:rPr>
              <w:t>40℃</w:t>
            </w:r>
          </w:p>
        </w:tc>
        <w:tc>
          <w:tcPr>
            <w:tcW w:w="865" w:type="pct"/>
            <w:tcBorders>
              <w:top w:val="single" w:color="000000" w:sz="12" w:space="0"/>
              <w:left w:val="nil"/>
              <w:bottom w:val="single" w:color="auto" w:sz="4" w:space="0"/>
              <w:right w:val="nil"/>
            </w:tcBorders>
            <w:shd w:val="clear" w:color="auto" w:fill="FFFFFF"/>
            <w:vAlign w:val="center"/>
          </w:tcPr>
          <w:p w14:paraId="40EFF9C4">
            <w:pPr>
              <w:jc w:val="center"/>
              <w:rPr>
                <w:color w:val="000000"/>
              </w:rPr>
            </w:pPr>
            <w:r>
              <w:rPr>
                <w:rFonts w:hint="eastAsia"/>
                <w:color w:val="000000"/>
              </w:rPr>
              <w:t>50℃</w:t>
            </w:r>
          </w:p>
        </w:tc>
        <w:tc>
          <w:tcPr>
            <w:tcW w:w="903" w:type="pct"/>
            <w:tcBorders>
              <w:top w:val="single" w:color="000000" w:sz="12" w:space="0"/>
              <w:left w:val="nil"/>
              <w:bottom w:val="single" w:color="auto" w:sz="4" w:space="0"/>
              <w:right w:val="nil"/>
            </w:tcBorders>
            <w:shd w:val="clear" w:color="auto" w:fill="FFFFFF"/>
            <w:vAlign w:val="center"/>
          </w:tcPr>
          <w:p w14:paraId="65EB1281">
            <w:pPr>
              <w:jc w:val="center"/>
              <w:rPr>
                <w:color w:val="000000"/>
              </w:rPr>
            </w:pPr>
            <w:r>
              <w:rPr>
                <w:rFonts w:hint="eastAsia"/>
                <w:color w:val="000000"/>
              </w:rPr>
              <w:t>60℃</w:t>
            </w:r>
          </w:p>
        </w:tc>
        <w:tc>
          <w:tcPr>
            <w:tcW w:w="903" w:type="pct"/>
            <w:tcBorders>
              <w:top w:val="single" w:color="000000" w:sz="12" w:space="0"/>
              <w:left w:val="nil"/>
              <w:bottom w:val="single" w:color="auto" w:sz="4" w:space="0"/>
              <w:right w:val="nil"/>
            </w:tcBorders>
            <w:shd w:val="clear" w:color="auto" w:fill="FFFFFF"/>
            <w:vAlign w:val="center"/>
          </w:tcPr>
          <w:p w14:paraId="290F1DB7">
            <w:pPr>
              <w:jc w:val="center"/>
              <w:rPr>
                <w:color w:val="000000"/>
              </w:rPr>
            </w:pPr>
            <w:r>
              <w:rPr>
                <w:rFonts w:hint="eastAsia"/>
                <w:color w:val="000000"/>
              </w:rPr>
              <w:t>70℃</w:t>
            </w:r>
          </w:p>
        </w:tc>
      </w:tr>
      <w:tr w14:paraId="661E9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restart"/>
            <w:tcBorders>
              <w:top w:val="single" w:color="auto" w:sz="4" w:space="0"/>
              <w:left w:val="nil"/>
              <w:bottom w:val="nil"/>
              <w:right w:val="nil"/>
            </w:tcBorders>
            <w:shd w:val="clear" w:color="auto" w:fill="FFFFFF"/>
            <w:vAlign w:val="center"/>
          </w:tcPr>
          <w:p w14:paraId="3D1FBAD8">
            <w:pPr>
              <w:jc w:val="center"/>
              <w:rPr>
                <w:color w:val="000000"/>
              </w:rPr>
            </w:pPr>
            <w:r>
              <w:rPr>
                <w:rFonts w:hint="eastAsia"/>
                <w:color w:val="000000"/>
              </w:rPr>
              <w:t>L</w:t>
            </w:r>
          </w:p>
        </w:tc>
        <w:tc>
          <w:tcPr>
            <w:tcW w:w="412" w:type="pct"/>
            <w:vMerge w:val="restart"/>
            <w:tcBorders>
              <w:top w:val="single" w:color="auto" w:sz="4" w:space="0"/>
              <w:left w:val="nil"/>
              <w:bottom w:val="nil"/>
              <w:right w:val="nil"/>
            </w:tcBorders>
            <w:shd w:val="clear" w:color="auto" w:fill="FFFFFF"/>
            <w:vAlign w:val="center"/>
          </w:tcPr>
          <w:p w14:paraId="25B54234">
            <w:pPr>
              <w:spacing w:line="360" w:lineRule="auto"/>
              <w:jc w:val="center"/>
              <w:rPr>
                <w:color w:val="000000"/>
              </w:rPr>
            </w:pPr>
            <w:r>
              <w:rPr>
                <w:rFonts w:hint="eastAsia"/>
                <w:color w:val="000000"/>
              </w:rPr>
              <w:t>10d</w:t>
            </w:r>
          </w:p>
        </w:tc>
        <w:tc>
          <w:tcPr>
            <w:tcW w:w="554" w:type="pct"/>
            <w:tcBorders>
              <w:top w:val="single" w:color="auto" w:sz="4" w:space="0"/>
              <w:left w:val="nil"/>
              <w:bottom w:val="nil"/>
              <w:right w:val="nil"/>
            </w:tcBorders>
            <w:shd w:val="clear" w:color="auto" w:fill="FFFFFF"/>
            <w:vAlign w:val="center"/>
          </w:tcPr>
          <w:p w14:paraId="540AD805">
            <w:pPr>
              <w:spacing w:line="360" w:lineRule="auto"/>
              <w:jc w:val="center"/>
              <w:rPr>
                <w:color w:val="000000"/>
              </w:rPr>
            </w:pPr>
            <w:r>
              <w:rPr>
                <w:rFonts w:hint="eastAsia"/>
                <w:color w:val="000000"/>
              </w:rPr>
              <w:t>4</w:t>
            </w:r>
          </w:p>
        </w:tc>
        <w:tc>
          <w:tcPr>
            <w:tcW w:w="948" w:type="pct"/>
            <w:tcBorders>
              <w:top w:val="single" w:color="auto" w:sz="4" w:space="0"/>
              <w:left w:val="nil"/>
              <w:bottom w:val="nil"/>
              <w:right w:val="nil"/>
            </w:tcBorders>
            <w:shd w:val="clear" w:color="auto" w:fill="FFFFFF"/>
            <w:vAlign w:val="center"/>
          </w:tcPr>
          <w:p w14:paraId="00F8E82D">
            <w:pPr>
              <w:widowControl/>
              <w:jc w:val="center"/>
              <w:textAlignment w:val="center"/>
              <w:rPr>
                <w:color w:val="000000"/>
                <w:vertAlign w:val="superscript"/>
              </w:rPr>
            </w:pPr>
            <w:r>
              <w:rPr>
                <w:color w:val="000000"/>
                <w:kern w:val="0"/>
                <w:sz w:val="22"/>
                <w:szCs w:val="22"/>
              </w:rPr>
              <w:t>-0.8</w:t>
            </w:r>
            <w:r>
              <w:rPr>
                <w:rFonts w:hint="eastAsia"/>
                <w:color w:val="000000"/>
                <w:kern w:val="0"/>
                <w:sz w:val="22"/>
                <w:szCs w:val="22"/>
              </w:rPr>
              <w:t>±0.33</w:t>
            </w:r>
            <w:r>
              <w:rPr>
                <w:rFonts w:hint="eastAsia"/>
                <w:color w:val="000000"/>
                <w:kern w:val="0"/>
                <w:sz w:val="22"/>
                <w:szCs w:val="22"/>
                <w:vertAlign w:val="superscript"/>
              </w:rPr>
              <w:t>a</w:t>
            </w:r>
          </w:p>
        </w:tc>
        <w:tc>
          <w:tcPr>
            <w:tcW w:w="865" w:type="pct"/>
            <w:tcBorders>
              <w:top w:val="single" w:color="auto" w:sz="4" w:space="0"/>
              <w:left w:val="nil"/>
              <w:bottom w:val="nil"/>
              <w:right w:val="nil"/>
            </w:tcBorders>
            <w:shd w:val="clear" w:color="auto" w:fill="FFFFFF"/>
            <w:vAlign w:val="center"/>
          </w:tcPr>
          <w:p w14:paraId="3F0DCB38">
            <w:pPr>
              <w:widowControl/>
              <w:jc w:val="center"/>
              <w:textAlignment w:val="center"/>
              <w:rPr>
                <w:color w:val="000000"/>
              </w:rPr>
            </w:pPr>
            <w:r>
              <w:rPr>
                <w:color w:val="000000"/>
                <w:kern w:val="0"/>
                <w:sz w:val="22"/>
                <w:szCs w:val="22"/>
              </w:rPr>
              <w:t>-0.84</w:t>
            </w:r>
            <w:r>
              <w:rPr>
                <w:rFonts w:hint="eastAsia"/>
                <w:color w:val="000000"/>
                <w:kern w:val="0"/>
                <w:sz w:val="22"/>
                <w:szCs w:val="22"/>
              </w:rPr>
              <w:t>±0.04</w:t>
            </w:r>
            <w:r>
              <w:rPr>
                <w:rFonts w:hint="eastAsia"/>
                <w:color w:val="000000"/>
                <w:kern w:val="0"/>
                <w:sz w:val="22"/>
                <w:szCs w:val="22"/>
                <w:vertAlign w:val="superscript"/>
              </w:rPr>
              <w:t>a</w:t>
            </w:r>
          </w:p>
        </w:tc>
        <w:tc>
          <w:tcPr>
            <w:tcW w:w="903" w:type="pct"/>
            <w:tcBorders>
              <w:top w:val="single" w:color="auto" w:sz="4" w:space="0"/>
              <w:left w:val="nil"/>
              <w:bottom w:val="nil"/>
              <w:right w:val="nil"/>
            </w:tcBorders>
            <w:shd w:val="clear" w:color="auto" w:fill="FFFFFF"/>
            <w:vAlign w:val="center"/>
          </w:tcPr>
          <w:p w14:paraId="12AC9EEA">
            <w:pPr>
              <w:widowControl/>
              <w:jc w:val="center"/>
              <w:textAlignment w:val="center"/>
              <w:rPr>
                <w:color w:val="000000"/>
              </w:rPr>
            </w:pPr>
            <w:r>
              <w:rPr>
                <w:color w:val="000000"/>
                <w:kern w:val="0"/>
                <w:sz w:val="22"/>
                <w:szCs w:val="22"/>
              </w:rPr>
              <w:t>-1.335</w:t>
            </w:r>
            <w:r>
              <w:rPr>
                <w:rFonts w:hint="eastAsia"/>
                <w:color w:val="000000"/>
                <w:kern w:val="0"/>
                <w:sz w:val="22"/>
                <w:szCs w:val="22"/>
              </w:rPr>
              <w:t>±1.53</w:t>
            </w:r>
            <w:r>
              <w:rPr>
                <w:rFonts w:hint="eastAsia"/>
                <w:color w:val="000000"/>
                <w:kern w:val="0"/>
                <w:sz w:val="22"/>
                <w:szCs w:val="22"/>
                <w:vertAlign w:val="superscript"/>
              </w:rPr>
              <w:t>a</w:t>
            </w:r>
          </w:p>
        </w:tc>
        <w:tc>
          <w:tcPr>
            <w:tcW w:w="903" w:type="pct"/>
            <w:tcBorders>
              <w:top w:val="single" w:color="auto" w:sz="4" w:space="0"/>
              <w:left w:val="nil"/>
              <w:bottom w:val="nil"/>
              <w:right w:val="nil"/>
            </w:tcBorders>
            <w:shd w:val="clear" w:color="auto" w:fill="FFFFFF"/>
            <w:vAlign w:val="center"/>
          </w:tcPr>
          <w:p w14:paraId="77D8F9B8">
            <w:pPr>
              <w:widowControl/>
              <w:jc w:val="center"/>
              <w:textAlignment w:val="center"/>
              <w:rPr>
                <w:color w:val="000000"/>
              </w:rPr>
            </w:pPr>
            <w:r>
              <w:rPr>
                <w:color w:val="000000"/>
                <w:kern w:val="0"/>
                <w:sz w:val="22"/>
                <w:szCs w:val="22"/>
              </w:rPr>
              <w:t>-0.645</w:t>
            </w:r>
            <w:r>
              <w:rPr>
                <w:rFonts w:hint="eastAsia"/>
                <w:color w:val="000000"/>
                <w:kern w:val="0"/>
                <w:sz w:val="22"/>
                <w:szCs w:val="22"/>
              </w:rPr>
              <w:t>±0.71</w:t>
            </w:r>
            <w:r>
              <w:rPr>
                <w:rFonts w:hint="eastAsia"/>
                <w:color w:val="000000"/>
                <w:kern w:val="0"/>
                <w:sz w:val="22"/>
                <w:szCs w:val="22"/>
                <w:vertAlign w:val="superscript"/>
              </w:rPr>
              <w:t>a</w:t>
            </w:r>
          </w:p>
        </w:tc>
      </w:tr>
      <w:tr w14:paraId="08F3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63F5B4E5">
            <w:pPr>
              <w:jc w:val="left"/>
              <w:rPr>
                <w:color w:val="000000"/>
              </w:rPr>
            </w:pPr>
          </w:p>
        </w:tc>
        <w:tc>
          <w:tcPr>
            <w:tcW w:w="412" w:type="pct"/>
            <w:vMerge w:val="continue"/>
            <w:tcBorders>
              <w:top w:val="nil"/>
              <w:left w:val="nil"/>
              <w:bottom w:val="nil"/>
              <w:right w:val="nil"/>
            </w:tcBorders>
            <w:shd w:val="clear" w:color="auto" w:fill="FFFFFF"/>
            <w:vAlign w:val="center"/>
          </w:tcPr>
          <w:p w14:paraId="0BFF1E54">
            <w:pPr>
              <w:rPr>
                <w:color w:val="000000"/>
              </w:rPr>
            </w:pPr>
          </w:p>
        </w:tc>
        <w:tc>
          <w:tcPr>
            <w:tcW w:w="554" w:type="pct"/>
            <w:tcBorders>
              <w:top w:val="nil"/>
              <w:left w:val="nil"/>
              <w:bottom w:val="nil"/>
              <w:right w:val="nil"/>
            </w:tcBorders>
            <w:shd w:val="clear" w:color="auto" w:fill="FFFFFF"/>
            <w:vAlign w:val="center"/>
          </w:tcPr>
          <w:p w14:paraId="36C8BBB6">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1478069F">
            <w:pPr>
              <w:widowControl/>
              <w:jc w:val="center"/>
              <w:textAlignment w:val="center"/>
              <w:rPr>
                <w:color w:val="000000"/>
              </w:rPr>
            </w:pPr>
            <w:r>
              <w:rPr>
                <w:color w:val="000000"/>
                <w:kern w:val="0"/>
                <w:sz w:val="22"/>
                <w:szCs w:val="22"/>
              </w:rPr>
              <w:t>-2.5</w:t>
            </w:r>
            <w:r>
              <w:rPr>
                <w:rFonts w:hint="eastAsia"/>
                <w:color w:val="000000"/>
                <w:kern w:val="0"/>
                <w:sz w:val="22"/>
                <w:szCs w:val="22"/>
              </w:rPr>
              <w:t>±0.18</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4B41DCF1">
            <w:pPr>
              <w:widowControl/>
              <w:jc w:val="center"/>
              <w:textAlignment w:val="center"/>
              <w:rPr>
                <w:color w:val="000000"/>
              </w:rPr>
            </w:pPr>
            <w:r>
              <w:rPr>
                <w:color w:val="000000"/>
                <w:kern w:val="0"/>
                <w:sz w:val="22"/>
                <w:szCs w:val="22"/>
              </w:rPr>
              <w:t>-1.7</w:t>
            </w:r>
            <w:r>
              <w:rPr>
                <w:rFonts w:hint="eastAsia"/>
                <w:color w:val="000000"/>
                <w:kern w:val="0"/>
                <w:sz w:val="22"/>
                <w:szCs w:val="22"/>
              </w:rPr>
              <w:t>±0.78</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B71D0E3">
            <w:pPr>
              <w:widowControl/>
              <w:jc w:val="center"/>
              <w:textAlignment w:val="center"/>
              <w:rPr>
                <w:color w:val="000000"/>
              </w:rPr>
            </w:pPr>
            <w:r>
              <w:rPr>
                <w:color w:val="000000"/>
                <w:kern w:val="0"/>
                <w:sz w:val="22"/>
                <w:szCs w:val="22"/>
              </w:rPr>
              <w:t>-1.87</w:t>
            </w:r>
            <w:r>
              <w:rPr>
                <w:rFonts w:hint="eastAsia"/>
                <w:color w:val="000000"/>
                <w:kern w:val="0"/>
                <w:sz w:val="22"/>
                <w:szCs w:val="22"/>
              </w:rPr>
              <w:t>±1.23</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EA7864C">
            <w:pPr>
              <w:widowControl/>
              <w:jc w:val="center"/>
              <w:textAlignment w:val="center"/>
              <w:rPr>
                <w:color w:val="000000"/>
              </w:rPr>
            </w:pPr>
            <w:r>
              <w:rPr>
                <w:color w:val="000000"/>
                <w:kern w:val="0"/>
                <w:sz w:val="22"/>
                <w:szCs w:val="22"/>
              </w:rPr>
              <w:t>-1.82</w:t>
            </w:r>
            <w:r>
              <w:rPr>
                <w:rFonts w:hint="eastAsia"/>
                <w:color w:val="000000"/>
                <w:kern w:val="0"/>
                <w:sz w:val="22"/>
                <w:szCs w:val="22"/>
              </w:rPr>
              <w:t>±0.57</w:t>
            </w:r>
            <w:r>
              <w:rPr>
                <w:rFonts w:hint="eastAsia"/>
                <w:color w:val="000000"/>
                <w:kern w:val="0"/>
                <w:sz w:val="22"/>
                <w:szCs w:val="22"/>
                <w:vertAlign w:val="superscript"/>
              </w:rPr>
              <w:t>a</w:t>
            </w:r>
          </w:p>
        </w:tc>
      </w:tr>
      <w:tr w14:paraId="7048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2F58A8E6">
            <w:pPr>
              <w:jc w:val="left"/>
              <w:rPr>
                <w:color w:val="000000"/>
              </w:rPr>
            </w:pPr>
          </w:p>
        </w:tc>
        <w:tc>
          <w:tcPr>
            <w:tcW w:w="412" w:type="pct"/>
            <w:vMerge w:val="continue"/>
            <w:tcBorders>
              <w:top w:val="nil"/>
              <w:left w:val="nil"/>
              <w:bottom w:val="nil"/>
              <w:right w:val="nil"/>
            </w:tcBorders>
            <w:shd w:val="clear" w:color="auto" w:fill="FFFFFF"/>
            <w:vAlign w:val="center"/>
          </w:tcPr>
          <w:p w14:paraId="68F1E699">
            <w:pPr>
              <w:rPr>
                <w:color w:val="000000"/>
              </w:rPr>
            </w:pPr>
          </w:p>
        </w:tc>
        <w:tc>
          <w:tcPr>
            <w:tcW w:w="554" w:type="pct"/>
            <w:tcBorders>
              <w:top w:val="nil"/>
              <w:left w:val="nil"/>
              <w:bottom w:val="nil"/>
              <w:right w:val="nil"/>
            </w:tcBorders>
            <w:shd w:val="clear" w:color="auto" w:fill="FFFFFF"/>
            <w:vAlign w:val="center"/>
          </w:tcPr>
          <w:p w14:paraId="6A1A5304">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4847E73E">
            <w:pPr>
              <w:widowControl/>
              <w:jc w:val="center"/>
              <w:textAlignment w:val="center"/>
              <w:rPr>
                <w:color w:val="000000"/>
              </w:rPr>
            </w:pPr>
            <w:r>
              <w:rPr>
                <w:color w:val="000000"/>
                <w:kern w:val="0"/>
                <w:sz w:val="22"/>
                <w:szCs w:val="22"/>
              </w:rPr>
              <w:t>-3.17</w:t>
            </w:r>
            <w:r>
              <w:rPr>
                <w:rFonts w:hint="eastAsia"/>
                <w:color w:val="000000"/>
                <w:kern w:val="0"/>
                <w:sz w:val="22"/>
                <w:szCs w:val="22"/>
              </w:rPr>
              <w:t>±0.42</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6207FB71">
            <w:pPr>
              <w:widowControl/>
              <w:jc w:val="center"/>
              <w:textAlignment w:val="center"/>
              <w:rPr>
                <w:color w:val="000000"/>
              </w:rPr>
            </w:pPr>
            <w:r>
              <w:rPr>
                <w:color w:val="000000"/>
                <w:kern w:val="0"/>
                <w:sz w:val="22"/>
                <w:szCs w:val="22"/>
              </w:rPr>
              <w:t>-1.895</w:t>
            </w:r>
            <w:r>
              <w:rPr>
                <w:rFonts w:hint="eastAsia"/>
                <w:color w:val="000000"/>
                <w:kern w:val="0"/>
                <w:sz w:val="22"/>
                <w:szCs w:val="22"/>
              </w:rPr>
              <w:t>±1.36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21390485">
            <w:pPr>
              <w:widowControl/>
              <w:jc w:val="center"/>
              <w:textAlignment w:val="center"/>
              <w:rPr>
                <w:color w:val="000000"/>
              </w:rPr>
            </w:pPr>
            <w:r>
              <w:rPr>
                <w:color w:val="000000"/>
                <w:kern w:val="0"/>
                <w:sz w:val="22"/>
                <w:szCs w:val="22"/>
              </w:rPr>
              <w:t>-1.935</w:t>
            </w:r>
            <w:r>
              <w:rPr>
                <w:rFonts w:hint="eastAsia"/>
                <w:color w:val="000000"/>
                <w:kern w:val="0"/>
                <w:sz w:val="22"/>
                <w:szCs w:val="22"/>
              </w:rPr>
              <w:t>±0.66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006F3A28">
            <w:pPr>
              <w:widowControl/>
              <w:jc w:val="center"/>
              <w:textAlignment w:val="center"/>
              <w:rPr>
                <w:color w:val="000000"/>
              </w:rPr>
            </w:pPr>
            <w:r>
              <w:rPr>
                <w:color w:val="000000"/>
                <w:kern w:val="0"/>
                <w:sz w:val="22"/>
                <w:szCs w:val="22"/>
              </w:rPr>
              <w:t>-2.67</w:t>
            </w:r>
            <w:r>
              <w:rPr>
                <w:rFonts w:hint="eastAsia"/>
                <w:color w:val="000000"/>
                <w:kern w:val="0"/>
                <w:sz w:val="22"/>
                <w:szCs w:val="22"/>
              </w:rPr>
              <w:t>±0.59</w:t>
            </w:r>
            <w:r>
              <w:rPr>
                <w:rFonts w:hint="eastAsia"/>
                <w:color w:val="000000"/>
                <w:kern w:val="0"/>
                <w:sz w:val="22"/>
                <w:szCs w:val="22"/>
                <w:vertAlign w:val="superscript"/>
              </w:rPr>
              <w:t>a</w:t>
            </w:r>
          </w:p>
        </w:tc>
      </w:tr>
      <w:tr w14:paraId="5C125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11D361D1">
            <w:pPr>
              <w:jc w:val="left"/>
              <w:rPr>
                <w:color w:val="000000"/>
              </w:rPr>
            </w:pPr>
          </w:p>
        </w:tc>
        <w:tc>
          <w:tcPr>
            <w:tcW w:w="412" w:type="pct"/>
            <w:vMerge w:val="continue"/>
            <w:tcBorders>
              <w:top w:val="nil"/>
              <w:left w:val="nil"/>
              <w:bottom w:val="nil"/>
              <w:right w:val="nil"/>
            </w:tcBorders>
            <w:shd w:val="clear" w:color="auto" w:fill="FFFFFF"/>
            <w:vAlign w:val="center"/>
          </w:tcPr>
          <w:p w14:paraId="0AF7B498">
            <w:pPr>
              <w:rPr>
                <w:color w:val="000000"/>
              </w:rPr>
            </w:pPr>
          </w:p>
        </w:tc>
        <w:tc>
          <w:tcPr>
            <w:tcW w:w="554" w:type="pct"/>
            <w:tcBorders>
              <w:top w:val="nil"/>
              <w:left w:val="nil"/>
              <w:bottom w:val="nil"/>
              <w:right w:val="nil"/>
            </w:tcBorders>
            <w:shd w:val="clear" w:color="auto" w:fill="FFFFFF"/>
            <w:vAlign w:val="center"/>
          </w:tcPr>
          <w:p w14:paraId="5740E098">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6BB45C48">
            <w:pPr>
              <w:widowControl/>
              <w:jc w:val="center"/>
              <w:textAlignment w:val="center"/>
              <w:rPr>
                <w:color w:val="000000"/>
              </w:rPr>
            </w:pPr>
            <w:r>
              <w:rPr>
                <w:color w:val="000000"/>
                <w:kern w:val="0"/>
                <w:sz w:val="22"/>
                <w:szCs w:val="22"/>
              </w:rPr>
              <w:t>-3.77</w:t>
            </w:r>
            <w:r>
              <w:rPr>
                <w:rFonts w:hint="eastAsia"/>
                <w:color w:val="000000"/>
                <w:kern w:val="0"/>
                <w:sz w:val="22"/>
                <w:szCs w:val="22"/>
              </w:rPr>
              <w:t>±0.33</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71007D31">
            <w:pPr>
              <w:widowControl/>
              <w:jc w:val="center"/>
              <w:textAlignment w:val="center"/>
              <w:rPr>
                <w:color w:val="000000"/>
              </w:rPr>
            </w:pPr>
            <w:r>
              <w:rPr>
                <w:color w:val="000000"/>
                <w:kern w:val="0"/>
                <w:sz w:val="22"/>
                <w:szCs w:val="22"/>
              </w:rPr>
              <w:t>-2.36</w:t>
            </w:r>
            <w:r>
              <w:rPr>
                <w:rFonts w:hint="eastAsia"/>
                <w:color w:val="000000"/>
                <w:kern w:val="0"/>
                <w:sz w:val="22"/>
                <w:szCs w:val="22"/>
              </w:rPr>
              <w:t>±0.52</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2ED4E195">
            <w:pPr>
              <w:widowControl/>
              <w:jc w:val="center"/>
              <w:textAlignment w:val="center"/>
              <w:rPr>
                <w:color w:val="000000"/>
              </w:rPr>
            </w:pPr>
            <w:r>
              <w:rPr>
                <w:color w:val="000000"/>
                <w:kern w:val="0"/>
                <w:sz w:val="22"/>
                <w:szCs w:val="22"/>
              </w:rPr>
              <w:t>-2.33</w:t>
            </w:r>
            <w:r>
              <w:rPr>
                <w:rFonts w:hint="eastAsia"/>
                <w:color w:val="000000"/>
                <w:kern w:val="0"/>
                <w:sz w:val="22"/>
                <w:szCs w:val="22"/>
              </w:rPr>
              <w:t>±0.82</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FB8F635">
            <w:pPr>
              <w:widowControl/>
              <w:jc w:val="center"/>
              <w:textAlignment w:val="center"/>
              <w:rPr>
                <w:color w:val="000000"/>
              </w:rPr>
            </w:pPr>
            <w:r>
              <w:rPr>
                <w:color w:val="000000"/>
                <w:kern w:val="0"/>
                <w:sz w:val="22"/>
                <w:szCs w:val="22"/>
              </w:rPr>
              <w:t>-2.63</w:t>
            </w:r>
            <w:r>
              <w:rPr>
                <w:rFonts w:hint="eastAsia"/>
                <w:color w:val="000000"/>
                <w:kern w:val="0"/>
                <w:sz w:val="22"/>
                <w:szCs w:val="22"/>
              </w:rPr>
              <w:t>±0.86</w:t>
            </w:r>
            <w:r>
              <w:rPr>
                <w:rFonts w:hint="eastAsia"/>
                <w:color w:val="000000"/>
                <w:kern w:val="0"/>
                <w:sz w:val="22"/>
                <w:szCs w:val="22"/>
                <w:vertAlign w:val="superscript"/>
              </w:rPr>
              <w:t>a</w:t>
            </w:r>
          </w:p>
        </w:tc>
      </w:tr>
      <w:tr w14:paraId="0E030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6C26CE04">
            <w:pPr>
              <w:jc w:val="left"/>
              <w:rPr>
                <w:color w:val="000000"/>
              </w:rPr>
            </w:pPr>
          </w:p>
        </w:tc>
        <w:tc>
          <w:tcPr>
            <w:tcW w:w="412" w:type="pct"/>
            <w:vMerge w:val="restart"/>
            <w:tcBorders>
              <w:top w:val="nil"/>
              <w:left w:val="nil"/>
              <w:bottom w:val="nil"/>
              <w:right w:val="nil"/>
            </w:tcBorders>
            <w:shd w:val="clear" w:color="auto" w:fill="FFFFFF"/>
            <w:vAlign w:val="center"/>
          </w:tcPr>
          <w:p w14:paraId="086C6F08">
            <w:pPr>
              <w:jc w:val="center"/>
              <w:rPr>
                <w:color w:val="000000"/>
              </w:rPr>
            </w:pPr>
            <w:r>
              <w:rPr>
                <w:rFonts w:hint="eastAsia"/>
                <w:color w:val="000000"/>
              </w:rPr>
              <w:t>20d</w:t>
            </w:r>
          </w:p>
        </w:tc>
        <w:tc>
          <w:tcPr>
            <w:tcW w:w="554" w:type="pct"/>
            <w:tcBorders>
              <w:top w:val="nil"/>
              <w:left w:val="nil"/>
              <w:bottom w:val="nil"/>
              <w:right w:val="nil"/>
            </w:tcBorders>
            <w:shd w:val="clear" w:color="auto" w:fill="FFFFFF"/>
            <w:vAlign w:val="center"/>
          </w:tcPr>
          <w:p w14:paraId="7AB6BA17">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008333D9">
            <w:pPr>
              <w:widowControl/>
              <w:jc w:val="center"/>
              <w:textAlignment w:val="center"/>
              <w:rPr>
                <w:color w:val="000000"/>
              </w:rPr>
            </w:pPr>
            <w:r>
              <w:rPr>
                <w:color w:val="000000"/>
                <w:kern w:val="0"/>
                <w:sz w:val="22"/>
                <w:szCs w:val="22"/>
              </w:rPr>
              <w:t>0.09</w:t>
            </w:r>
            <w:r>
              <w:rPr>
                <w:rFonts w:hint="eastAsia"/>
                <w:color w:val="000000"/>
                <w:kern w:val="0"/>
                <w:sz w:val="22"/>
                <w:szCs w:val="22"/>
              </w:rPr>
              <w:t>±0.10</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55A73189">
            <w:pPr>
              <w:widowControl/>
              <w:jc w:val="center"/>
              <w:textAlignment w:val="center"/>
              <w:rPr>
                <w:color w:val="000000"/>
              </w:rPr>
            </w:pPr>
            <w:r>
              <w:rPr>
                <w:color w:val="000000"/>
                <w:kern w:val="0"/>
                <w:sz w:val="22"/>
                <w:szCs w:val="22"/>
              </w:rPr>
              <w:t>-0.89</w:t>
            </w:r>
            <w:r>
              <w:rPr>
                <w:rFonts w:hint="eastAsia"/>
                <w:color w:val="000000"/>
                <w:kern w:val="0"/>
                <w:sz w:val="22"/>
                <w:szCs w:val="22"/>
              </w:rPr>
              <w:t>±0.93</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F1F5191">
            <w:pPr>
              <w:widowControl/>
              <w:jc w:val="center"/>
              <w:textAlignment w:val="center"/>
              <w:rPr>
                <w:color w:val="000000"/>
              </w:rPr>
            </w:pPr>
            <w:r>
              <w:rPr>
                <w:color w:val="000000"/>
                <w:kern w:val="0"/>
                <w:sz w:val="22"/>
                <w:szCs w:val="22"/>
              </w:rPr>
              <w:t>0.12</w:t>
            </w:r>
            <w:r>
              <w:rPr>
                <w:rFonts w:hint="eastAsia"/>
                <w:color w:val="000000"/>
                <w:kern w:val="0"/>
                <w:sz w:val="22"/>
                <w:szCs w:val="22"/>
              </w:rPr>
              <w:t>±0.08</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4DF021A">
            <w:pPr>
              <w:widowControl/>
              <w:jc w:val="center"/>
              <w:textAlignment w:val="center"/>
              <w:rPr>
                <w:color w:val="000000"/>
              </w:rPr>
            </w:pPr>
            <w:r>
              <w:rPr>
                <w:color w:val="000000"/>
                <w:kern w:val="0"/>
                <w:sz w:val="22"/>
                <w:szCs w:val="22"/>
              </w:rPr>
              <w:t>-0.275</w:t>
            </w:r>
            <w:r>
              <w:rPr>
                <w:rFonts w:hint="eastAsia"/>
                <w:color w:val="000000"/>
                <w:kern w:val="0"/>
                <w:sz w:val="22"/>
                <w:szCs w:val="22"/>
              </w:rPr>
              <w:t>±0.32</w:t>
            </w:r>
            <w:r>
              <w:rPr>
                <w:rFonts w:hint="eastAsia"/>
                <w:color w:val="000000"/>
                <w:kern w:val="0"/>
                <w:sz w:val="22"/>
                <w:szCs w:val="22"/>
                <w:vertAlign w:val="superscript"/>
              </w:rPr>
              <w:t>a</w:t>
            </w:r>
          </w:p>
        </w:tc>
      </w:tr>
      <w:tr w14:paraId="6537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6C94996A">
            <w:pPr>
              <w:jc w:val="left"/>
              <w:rPr>
                <w:color w:val="000000"/>
              </w:rPr>
            </w:pPr>
          </w:p>
        </w:tc>
        <w:tc>
          <w:tcPr>
            <w:tcW w:w="412" w:type="pct"/>
            <w:vMerge w:val="continue"/>
            <w:tcBorders>
              <w:top w:val="nil"/>
              <w:left w:val="nil"/>
              <w:bottom w:val="nil"/>
              <w:right w:val="nil"/>
            </w:tcBorders>
            <w:shd w:val="clear" w:color="auto" w:fill="FFFFFF"/>
            <w:vAlign w:val="center"/>
          </w:tcPr>
          <w:p w14:paraId="4C6A0AAE">
            <w:pPr>
              <w:rPr>
                <w:color w:val="000000"/>
              </w:rPr>
            </w:pPr>
          </w:p>
        </w:tc>
        <w:tc>
          <w:tcPr>
            <w:tcW w:w="554" w:type="pct"/>
            <w:tcBorders>
              <w:top w:val="nil"/>
              <w:left w:val="nil"/>
              <w:bottom w:val="nil"/>
              <w:right w:val="nil"/>
            </w:tcBorders>
            <w:shd w:val="clear" w:color="auto" w:fill="FFFFFF"/>
            <w:vAlign w:val="center"/>
          </w:tcPr>
          <w:p w14:paraId="21F0D8FB">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35C71934">
            <w:pPr>
              <w:widowControl/>
              <w:jc w:val="center"/>
              <w:textAlignment w:val="center"/>
              <w:rPr>
                <w:color w:val="000000"/>
              </w:rPr>
            </w:pPr>
            <w:r>
              <w:rPr>
                <w:color w:val="000000"/>
                <w:kern w:val="0"/>
                <w:sz w:val="22"/>
                <w:szCs w:val="22"/>
              </w:rPr>
              <w:t>-0.98</w:t>
            </w:r>
            <w:r>
              <w:rPr>
                <w:rFonts w:hint="eastAsia"/>
                <w:color w:val="000000"/>
                <w:kern w:val="0"/>
                <w:sz w:val="22"/>
                <w:szCs w:val="22"/>
              </w:rPr>
              <w:t>±0.18</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36137F9A">
            <w:pPr>
              <w:widowControl/>
              <w:jc w:val="center"/>
              <w:textAlignment w:val="center"/>
              <w:rPr>
                <w:color w:val="000000"/>
              </w:rPr>
            </w:pPr>
            <w:r>
              <w:rPr>
                <w:color w:val="000000"/>
                <w:kern w:val="0"/>
                <w:sz w:val="22"/>
                <w:szCs w:val="22"/>
              </w:rPr>
              <w:t>-1.45</w:t>
            </w:r>
            <w:r>
              <w:rPr>
                <w:rFonts w:hint="eastAsia"/>
                <w:color w:val="000000"/>
                <w:kern w:val="0"/>
                <w:sz w:val="22"/>
                <w:szCs w:val="22"/>
              </w:rPr>
              <w:t>±0.27</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AF5A04A">
            <w:pPr>
              <w:widowControl/>
              <w:jc w:val="center"/>
              <w:textAlignment w:val="center"/>
              <w:rPr>
                <w:color w:val="000000"/>
              </w:rPr>
            </w:pPr>
            <w:r>
              <w:rPr>
                <w:color w:val="000000"/>
                <w:kern w:val="0"/>
                <w:sz w:val="22"/>
                <w:szCs w:val="22"/>
              </w:rPr>
              <w:t>-1.055</w:t>
            </w:r>
            <w:r>
              <w:rPr>
                <w:rFonts w:hint="eastAsia"/>
                <w:color w:val="000000"/>
                <w:kern w:val="0"/>
                <w:sz w:val="22"/>
                <w:szCs w:val="22"/>
              </w:rPr>
              <w:t>±0.66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5FC9799">
            <w:pPr>
              <w:widowControl/>
              <w:jc w:val="center"/>
              <w:textAlignment w:val="center"/>
              <w:rPr>
                <w:color w:val="000000"/>
              </w:rPr>
            </w:pPr>
            <w:r>
              <w:rPr>
                <w:color w:val="000000"/>
                <w:kern w:val="0"/>
                <w:sz w:val="22"/>
                <w:szCs w:val="22"/>
              </w:rPr>
              <w:t>-1.66</w:t>
            </w:r>
            <w:r>
              <w:rPr>
                <w:rFonts w:hint="eastAsia"/>
                <w:color w:val="000000"/>
                <w:kern w:val="0"/>
                <w:sz w:val="22"/>
                <w:szCs w:val="22"/>
              </w:rPr>
              <w:t>±1.13</w:t>
            </w:r>
            <w:r>
              <w:rPr>
                <w:rFonts w:hint="eastAsia"/>
                <w:color w:val="000000"/>
                <w:kern w:val="0"/>
                <w:sz w:val="22"/>
                <w:szCs w:val="22"/>
                <w:vertAlign w:val="superscript"/>
              </w:rPr>
              <w:t>a</w:t>
            </w:r>
          </w:p>
        </w:tc>
      </w:tr>
      <w:tr w14:paraId="413A0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3490F304">
            <w:pPr>
              <w:jc w:val="left"/>
              <w:rPr>
                <w:color w:val="000000"/>
              </w:rPr>
            </w:pPr>
          </w:p>
        </w:tc>
        <w:tc>
          <w:tcPr>
            <w:tcW w:w="412" w:type="pct"/>
            <w:vMerge w:val="continue"/>
            <w:tcBorders>
              <w:top w:val="nil"/>
              <w:left w:val="nil"/>
              <w:bottom w:val="nil"/>
              <w:right w:val="nil"/>
            </w:tcBorders>
            <w:shd w:val="clear" w:color="auto" w:fill="FFFFFF"/>
            <w:vAlign w:val="center"/>
          </w:tcPr>
          <w:p w14:paraId="039A0709">
            <w:pPr>
              <w:rPr>
                <w:color w:val="000000"/>
              </w:rPr>
            </w:pPr>
          </w:p>
        </w:tc>
        <w:tc>
          <w:tcPr>
            <w:tcW w:w="554" w:type="pct"/>
            <w:tcBorders>
              <w:top w:val="nil"/>
              <w:left w:val="nil"/>
              <w:bottom w:val="nil"/>
              <w:right w:val="nil"/>
            </w:tcBorders>
            <w:shd w:val="clear" w:color="auto" w:fill="FFFFFF"/>
            <w:vAlign w:val="center"/>
          </w:tcPr>
          <w:p w14:paraId="395856ED">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36D28BC8">
            <w:pPr>
              <w:widowControl/>
              <w:jc w:val="center"/>
              <w:textAlignment w:val="center"/>
              <w:rPr>
                <w:color w:val="000000"/>
              </w:rPr>
            </w:pPr>
            <w:r>
              <w:rPr>
                <w:color w:val="000000"/>
                <w:kern w:val="0"/>
                <w:sz w:val="22"/>
                <w:szCs w:val="22"/>
              </w:rPr>
              <w:t>-2.005</w:t>
            </w:r>
            <w:r>
              <w:rPr>
                <w:rFonts w:hint="eastAsia"/>
                <w:color w:val="000000"/>
                <w:kern w:val="0"/>
                <w:sz w:val="22"/>
                <w:szCs w:val="22"/>
              </w:rPr>
              <w:t>±0.32</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6F57F67F">
            <w:pPr>
              <w:widowControl/>
              <w:jc w:val="center"/>
              <w:textAlignment w:val="center"/>
              <w:rPr>
                <w:color w:val="000000"/>
              </w:rPr>
            </w:pPr>
            <w:r>
              <w:rPr>
                <w:color w:val="000000"/>
                <w:kern w:val="0"/>
                <w:sz w:val="22"/>
                <w:szCs w:val="22"/>
              </w:rPr>
              <w:t>-1.115</w:t>
            </w:r>
            <w:r>
              <w:rPr>
                <w:rFonts w:hint="eastAsia"/>
                <w:color w:val="000000"/>
                <w:kern w:val="0"/>
                <w:sz w:val="22"/>
                <w:szCs w:val="22"/>
              </w:rPr>
              <w:t>±0.26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820AA9C">
            <w:pPr>
              <w:widowControl/>
              <w:jc w:val="center"/>
              <w:textAlignment w:val="center"/>
              <w:rPr>
                <w:color w:val="000000"/>
              </w:rPr>
            </w:pPr>
            <w:r>
              <w:rPr>
                <w:color w:val="000000"/>
                <w:kern w:val="0"/>
                <w:sz w:val="22"/>
                <w:szCs w:val="22"/>
              </w:rPr>
              <w:t>-1.295</w:t>
            </w:r>
            <w:r>
              <w:rPr>
                <w:rFonts w:hint="eastAsia"/>
                <w:color w:val="000000"/>
                <w:kern w:val="0"/>
                <w:sz w:val="22"/>
                <w:szCs w:val="22"/>
              </w:rPr>
              <w:t>±0.16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79B7ABE0">
            <w:pPr>
              <w:widowControl/>
              <w:jc w:val="center"/>
              <w:textAlignment w:val="center"/>
              <w:rPr>
                <w:color w:val="000000"/>
              </w:rPr>
            </w:pPr>
            <w:r>
              <w:rPr>
                <w:color w:val="000000"/>
                <w:kern w:val="0"/>
                <w:sz w:val="22"/>
                <w:szCs w:val="22"/>
              </w:rPr>
              <w:t>-1.575</w:t>
            </w:r>
            <w:r>
              <w:rPr>
                <w:rFonts w:hint="eastAsia"/>
                <w:color w:val="000000"/>
                <w:kern w:val="0"/>
                <w:sz w:val="22"/>
                <w:szCs w:val="22"/>
              </w:rPr>
              <w:t>±0.84</w:t>
            </w:r>
            <w:r>
              <w:rPr>
                <w:rFonts w:hint="eastAsia"/>
                <w:color w:val="000000"/>
                <w:kern w:val="0"/>
                <w:sz w:val="22"/>
                <w:szCs w:val="22"/>
                <w:vertAlign w:val="superscript"/>
              </w:rPr>
              <w:t>a</w:t>
            </w:r>
          </w:p>
        </w:tc>
      </w:tr>
      <w:tr w14:paraId="0E41E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7664B660">
            <w:pPr>
              <w:jc w:val="left"/>
              <w:rPr>
                <w:color w:val="000000"/>
              </w:rPr>
            </w:pPr>
          </w:p>
        </w:tc>
        <w:tc>
          <w:tcPr>
            <w:tcW w:w="412" w:type="pct"/>
            <w:vMerge w:val="continue"/>
            <w:tcBorders>
              <w:top w:val="nil"/>
              <w:left w:val="nil"/>
              <w:bottom w:val="nil"/>
              <w:right w:val="nil"/>
            </w:tcBorders>
            <w:shd w:val="clear" w:color="auto" w:fill="FFFFFF"/>
            <w:vAlign w:val="center"/>
          </w:tcPr>
          <w:p w14:paraId="7E033199">
            <w:pPr>
              <w:rPr>
                <w:color w:val="000000"/>
              </w:rPr>
            </w:pPr>
          </w:p>
        </w:tc>
        <w:tc>
          <w:tcPr>
            <w:tcW w:w="554" w:type="pct"/>
            <w:tcBorders>
              <w:top w:val="nil"/>
              <w:left w:val="nil"/>
              <w:bottom w:val="nil"/>
              <w:right w:val="nil"/>
            </w:tcBorders>
            <w:shd w:val="clear" w:color="auto" w:fill="FFFFFF"/>
            <w:vAlign w:val="center"/>
          </w:tcPr>
          <w:p w14:paraId="40C1F1E3">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17B23DF9">
            <w:pPr>
              <w:widowControl/>
              <w:jc w:val="center"/>
              <w:textAlignment w:val="center"/>
              <w:rPr>
                <w:color w:val="000000"/>
              </w:rPr>
            </w:pPr>
            <w:r>
              <w:rPr>
                <w:color w:val="000000"/>
                <w:kern w:val="0"/>
                <w:sz w:val="22"/>
                <w:szCs w:val="22"/>
              </w:rPr>
              <w:t>-2.635</w:t>
            </w:r>
            <w:r>
              <w:rPr>
                <w:rFonts w:hint="eastAsia"/>
                <w:color w:val="000000"/>
                <w:kern w:val="0"/>
                <w:sz w:val="22"/>
                <w:szCs w:val="22"/>
              </w:rPr>
              <w:t>±0.50</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2AA4E64A">
            <w:pPr>
              <w:widowControl/>
              <w:jc w:val="center"/>
              <w:textAlignment w:val="center"/>
              <w:rPr>
                <w:color w:val="000000"/>
              </w:rPr>
            </w:pPr>
            <w:r>
              <w:rPr>
                <w:color w:val="000000"/>
                <w:kern w:val="0"/>
                <w:sz w:val="22"/>
                <w:szCs w:val="22"/>
              </w:rPr>
              <w:t>-1.58</w:t>
            </w:r>
            <w:r>
              <w:rPr>
                <w:rFonts w:hint="eastAsia"/>
                <w:color w:val="000000"/>
                <w:kern w:val="0"/>
                <w:sz w:val="22"/>
                <w:szCs w:val="22"/>
              </w:rPr>
              <w:t>±0.06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7A47067D">
            <w:pPr>
              <w:widowControl/>
              <w:jc w:val="center"/>
              <w:textAlignment w:val="center"/>
              <w:rPr>
                <w:color w:val="000000"/>
              </w:rPr>
            </w:pPr>
            <w:r>
              <w:rPr>
                <w:color w:val="000000"/>
                <w:kern w:val="0"/>
                <w:sz w:val="22"/>
                <w:szCs w:val="22"/>
              </w:rPr>
              <w:t>-2.19</w:t>
            </w:r>
            <w:r>
              <w:rPr>
                <w:rFonts w:hint="eastAsia"/>
                <w:color w:val="000000"/>
                <w:kern w:val="0"/>
                <w:sz w:val="22"/>
                <w:szCs w:val="22"/>
              </w:rPr>
              <w:t>±0.49</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528A1533">
            <w:pPr>
              <w:widowControl/>
              <w:jc w:val="center"/>
              <w:textAlignment w:val="center"/>
              <w:rPr>
                <w:color w:val="000000"/>
              </w:rPr>
            </w:pPr>
            <w:r>
              <w:rPr>
                <w:color w:val="000000"/>
                <w:kern w:val="0"/>
                <w:sz w:val="22"/>
                <w:szCs w:val="22"/>
              </w:rPr>
              <w:t>-1.86</w:t>
            </w:r>
            <w:r>
              <w:rPr>
                <w:rFonts w:hint="eastAsia"/>
                <w:color w:val="000000"/>
                <w:kern w:val="0"/>
                <w:sz w:val="22"/>
                <w:szCs w:val="22"/>
              </w:rPr>
              <w:t>±0.10</w:t>
            </w:r>
            <w:r>
              <w:rPr>
                <w:rFonts w:hint="eastAsia"/>
                <w:color w:val="000000"/>
                <w:kern w:val="0"/>
                <w:sz w:val="22"/>
                <w:szCs w:val="22"/>
                <w:vertAlign w:val="superscript"/>
              </w:rPr>
              <w:t>a</w:t>
            </w:r>
          </w:p>
        </w:tc>
      </w:tr>
      <w:tr w14:paraId="17F9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single" w:color="auto" w:sz="4" w:space="0"/>
              <w:right w:val="nil"/>
            </w:tcBorders>
            <w:shd w:val="clear" w:color="auto" w:fill="FFFFFF"/>
            <w:vAlign w:val="center"/>
          </w:tcPr>
          <w:p w14:paraId="6B5A76E7">
            <w:pPr>
              <w:jc w:val="left"/>
              <w:rPr>
                <w:color w:val="000000"/>
              </w:rPr>
            </w:pPr>
          </w:p>
        </w:tc>
        <w:tc>
          <w:tcPr>
            <w:tcW w:w="412" w:type="pct"/>
            <w:tcBorders>
              <w:top w:val="nil"/>
              <w:left w:val="nil"/>
              <w:bottom w:val="single" w:color="auto" w:sz="4" w:space="0"/>
              <w:right w:val="nil"/>
            </w:tcBorders>
            <w:shd w:val="clear" w:color="auto" w:fill="FFFFFF"/>
            <w:vAlign w:val="center"/>
          </w:tcPr>
          <w:p w14:paraId="6C52A9E8">
            <w:pPr>
              <w:jc w:val="center"/>
              <w:rPr>
                <w:color w:val="000000"/>
              </w:rPr>
            </w:pPr>
            <w:r>
              <w:rPr>
                <w:rFonts w:hint="eastAsia"/>
                <w:color w:val="000000"/>
              </w:rPr>
              <w:t>30d</w:t>
            </w:r>
          </w:p>
        </w:tc>
        <w:tc>
          <w:tcPr>
            <w:tcW w:w="554" w:type="pct"/>
            <w:tcBorders>
              <w:top w:val="nil"/>
              <w:left w:val="nil"/>
              <w:bottom w:val="single" w:color="auto" w:sz="4" w:space="0"/>
              <w:right w:val="nil"/>
            </w:tcBorders>
            <w:shd w:val="clear" w:color="auto" w:fill="FFFFFF"/>
            <w:vAlign w:val="center"/>
          </w:tcPr>
          <w:p w14:paraId="4969DB4B">
            <w:pPr>
              <w:spacing w:line="360" w:lineRule="auto"/>
              <w:jc w:val="center"/>
              <w:rPr>
                <w:color w:val="000000"/>
              </w:rPr>
            </w:pPr>
            <w:r>
              <w:rPr>
                <w:rFonts w:hint="eastAsia"/>
                <w:color w:val="000000"/>
              </w:rPr>
              <w:t>4</w:t>
            </w:r>
          </w:p>
        </w:tc>
        <w:tc>
          <w:tcPr>
            <w:tcW w:w="948" w:type="pct"/>
            <w:tcBorders>
              <w:top w:val="nil"/>
              <w:left w:val="nil"/>
              <w:bottom w:val="single" w:color="auto" w:sz="4" w:space="0"/>
              <w:right w:val="nil"/>
            </w:tcBorders>
            <w:shd w:val="clear" w:color="auto" w:fill="FFFFFF"/>
            <w:vAlign w:val="center"/>
          </w:tcPr>
          <w:p w14:paraId="4288D8AF">
            <w:pPr>
              <w:widowControl/>
              <w:jc w:val="center"/>
              <w:textAlignment w:val="center"/>
              <w:rPr>
                <w:color w:val="000000"/>
              </w:rPr>
            </w:pPr>
            <w:r>
              <w:rPr>
                <w:color w:val="000000"/>
                <w:kern w:val="0"/>
                <w:sz w:val="22"/>
                <w:szCs w:val="22"/>
              </w:rPr>
              <w:t>-0.7</w:t>
            </w:r>
            <w:r>
              <w:rPr>
                <w:rFonts w:hint="eastAsia"/>
                <w:color w:val="000000"/>
                <w:kern w:val="0"/>
                <w:sz w:val="22"/>
                <w:szCs w:val="22"/>
              </w:rPr>
              <w:t>8±1.24</w:t>
            </w:r>
            <w:r>
              <w:rPr>
                <w:rFonts w:hint="eastAsia"/>
                <w:color w:val="000000"/>
                <w:kern w:val="0"/>
                <w:sz w:val="22"/>
                <w:szCs w:val="22"/>
                <w:vertAlign w:val="superscript"/>
              </w:rPr>
              <w:t>a</w:t>
            </w:r>
          </w:p>
        </w:tc>
        <w:tc>
          <w:tcPr>
            <w:tcW w:w="865" w:type="pct"/>
            <w:tcBorders>
              <w:top w:val="nil"/>
              <w:left w:val="nil"/>
              <w:bottom w:val="single" w:color="auto" w:sz="4" w:space="0"/>
              <w:right w:val="nil"/>
            </w:tcBorders>
            <w:shd w:val="clear" w:color="auto" w:fill="FFFFFF"/>
            <w:vAlign w:val="center"/>
          </w:tcPr>
          <w:p w14:paraId="43C03B40">
            <w:pPr>
              <w:widowControl/>
              <w:jc w:val="center"/>
              <w:textAlignment w:val="center"/>
              <w:rPr>
                <w:color w:val="000000"/>
              </w:rPr>
            </w:pPr>
            <w:r>
              <w:rPr>
                <w:color w:val="000000"/>
                <w:kern w:val="0"/>
                <w:sz w:val="22"/>
                <w:szCs w:val="22"/>
              </w:rPr>
              <w:t>0.05</w:t>
            </w:r>
            <w:r>
              <w:rPr>
                <w:rFonts w:hint="eastAsia"/>
                <w:color w:val="000000"/>
                <w:kern w:val="0"/>
                <w:sz w:val="22"/>
                <w:szCs w:val="22"/>
              </w:rPr>
              <w:t>±0.91</w:t>
            </w:r>
            <w:r>
              <w:rPr>
                <w:rFonts w:hint="eastAsia"/>
                <w:color w:val="000000"/>
                <w:kern w:val="0"/>
                <w:sz w:val="22"/>
                <w:szCs w:val="22"/>
                <w:vertAlign w:val="superscript"/>
              </w:rPr>
              <w:t>a</w:t>
            </w:r>
          </w:p>
        </w:tc>
        <w:tc>
          <w:tcPr>
            <w:tcW w:w="903" w:type="pct"/>
            <w:tcBorders>
              <w:top w:val="nil"/>
              <w:left w:val="nil"/>
              <w:bottom w:val="single" w:color="auto" w:sz="4" w:space="0"/>
              <w:right w:val="nil"/>
            </w:tcBorders>
            <w:shd w:val="clear" w:color="auto" w:fill="FFFFFF"/>
            <w:vAlign w:val="center"/>
          </w:tcPr>
          <w:p w14:paraId="036303E8">
            <w:pPr>
              <w:widowControl/>
              <w:jc w:val="center"/>
              <w:textAlignment w:val="center"/>
              <w:rPr>
                <w:color w:val="000000"/>
              </w:rPr>
            </w:pPr>
            <w:r>
              <w:rPr>
                <w:color w:val="000000"/>
                <w:kern w:val="0"/>
                <w:sz w:val="22"/>
                <w:szCs w:val="22"/>
              </w:rPr>
              <w:t>-1.025</w:t>
            </w:r>
            <w:r>
              <w:rPr>
                <w:rFonts w:hint="eastAsia"/>
                <w:color w:val="000000"/>
                <w:kern w:val="0"/>
                <w:sz w:val="22"/>
                <w:szCs w:val="22"/>
              </w:rPr>
              <w:t>±0.01</w:t>
            </w:r>
            <w:r>
              <w:rPr>
                <w:rFonts w:hint="eastAsia"/>
                <w:color w:val="000000"/>
                <w:kern w:val="0"/>
                <w:sz w:val="22"/>
                <w:szCs w:val="22"/>
                <w:vertAlign w:val="superscript"/>
              </w:rPr>
              <w:t>a</w:t>
            </w:r>
          </w:p>
        </w:tc>
        <w:tc>
          <w:tcPr>
            <w:tcW w:w="903" w:type="pct"/>
            <w:tcBorders>
              <w:top w:val="nil"/>
              <w:left w:val="nil"/>
              <w:bottom w:val="single" w:color="auto" w:sz="4" w:space="0"/>
              <w:right w:val="nil"/>
            </w:tcBorders>
            <w:shd w:val="clear" w:color="auto" w:fill="FFFFFF"/>
            <w:vAlign w:val="center"/>
          </w:tcPr>
          <w:p w14:paraId="7D0E9003">
            <w:pPr>
              <w:widowControl/>
              <w:jc w:val="center"/>
              <w:textAlignment w:val="center"/>
              <w:rPr>
                <w:color w:val="000000"/>
              </w:rPr>
            </w:pPr>
            <w:r>
              <w:rPr>
                <w:color w:val="000000"/>
                <w:kern w:val="0"/>
                <w:sz w:val="22"/>
                <w:szCs w:val="22"/>
              </w:rPr>
              <w:t>-0.71</w:t>
            </w:r>
            <w:r>
              <w:rPr>
                <w:rFonts w:hint="eastAsia"/>
                <w:color w:val="000000"/>
                <w:kern w:val="0"/>
                <w:sz w:val="22"/>
                <w:szCs w:val="22"/>
              </w:rPr>
              <w:t>±1.07</w:t>
            </w:r>
            <w:r>
              <w:rPr>
                <w:rFonts w:hint="eastAsia"/>
                <w:color w:val="000000"/>
                <w:kern w:val="0"/>
                <w:sz w:val="22"/>
                <w:szCs w:val="22"/>
                <w:vertAlign w:val="superscript"/>
              </w:rPr>
              <w:t>a</w:t>
            </w:r>
          </w:p>
        </w:tc>
      </w:tr>
    </w:tbl>
    <w:p w14:paraId="60C79386">
      <w:pPr>
        <w:jc w:val="center"/>
        <w:rPr>
          <w:szCs w:val="21"/>
        </w:rPr>
      </w:pPr>
    </w:p>
    <w:p w14:paraId="364C5DAE">
      <w:pPr>
        <w:jc w:val="center"/>
        <w:rPr>
          <w:sz w:val="24"/>
        </w:rPr>
      </w:pPr>
      <w:r>
        <w:rPr>
          <w:rFonts w:hint="eastAsia"/>
          <w:sz w:val="24"/>
          <w:szCs w:val="21"/>
        </w:rPr>
        <w:t>续表6 不同处理对五指毛桃露酒色度值的影响</w:t>
      </w:r>
    </w:p>
    <w:tbl>
      <w:tblPr>
        <w:tblStyle w:val="1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695"/>
        <w:gridCol w:w="937"/>
        <w:gridCol w:w="1621"/>
        <w:gridCol w:w="1481"/>
        <w:gridCol w:w="1546"/>
        <w:gridCol w:w="1546"/>
      </w:tblGrid>
      <w:tr w14:paraId="7FEC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tcBorders>
              <w:top w:val="single" w:color="auto" w:sz="4" w:space="0"/>
              <w:left w:val="nil"/>
              <w:right w:val="nil"/>
            </w:tcBorders>
            <w:shd w:val="clear" w:color="auto" w:fill="FFFFFF"/>
            <w:vAlign w:val="center"/>
          </w:tcPr>
          <w:p w14:paraId="3C57FD82">
            <w:pPr>
              <w:jc w:val="center"/>
              <w:rPr>
                <w:color w:val="000000"/>
              </w:rPr>
            </w:pPr>
            <w:r>
              <w:rPr>
                <w:rFonts w:hint="eastAsia"/>
                <w:color w:val="000000"/>
              </w:rPr>
              <w:t>色差</w:t>
            </w:r>
          </w:p>
        </w:tc>
        <w:tc>
          <w:tcPr>
            <w:tcW w:w="412" w:type="pct"/>
            <w:tcBorders>
              <w:top w:val="single" w:color="auto" w:sz="4" w:space="0"/>
              <w:left w:val="nil"/>
              <w:right w:val="nil"/>
            </w:tcBorders>
            <w:shd w:val="clear" w:color="auto" w:fill="FFFFFF"/>
            <w:vAlign w:val="center"/>
          </w:tcPr>
          <w:p w14:paraId="463896D3">
            <w:pPr>
              <w:spacing w:line="360" w:lineRule="auto"/>
              <w:jc w:val="center"/>
              <w:rPr>
                <w:color w:val="000000"/>
              </w:rPr>
            </w:pPr>
            <w:r>
              <w:rPr>
                <w:rFonts w:hint="eastAsia"/>
                <w:color w:val="000000"/>
              </w:rPr>
              <w:t>时间</w:t>
            </w:r>
          </w:p>
        </w:tc>
        <w:tc>
          <w:tcPr>
            <w:tcW w:w="554" w:type="pct"/>
            <w:tcBorders>
              <w:top w:val="single" w:color="auto" w:sz="4" w:space="0"/>
              <w:left w:val="nil"/>
              <w:bottom w:val="nil"/>
              <w:right w:val="nil"/>
            </w:tcBorders>
            <w:shd w:val="clear" w:color="auto" w:fill="FFFFFF"/>
            <w:vAlign w:val="center"/>
          </w:tcPr>
          <w:p w14:paraId="088F2BDD">
            <w:pPr>
              <w:spacing w:line="360" w:lineRule="auto"/>
              <w:jc w:val="center"/>
              <w:rPr>
                <w:color w:val="000000"/>
              </w:rPr>
            </w:pPr>
            <w:r>
              <w:rPr>
                <w:rFonts w:hint="eastAsia"/>
                <w:color w:val="000000"/>
              </w:rPr>
              <w:t>添加量</w:t>
            </w:r>
          </w:p>
        </w:tc>
        <w:tc>
          <w:tcPr>
            <w:tcW w:w="948" w:type="pct"/>
            <w:tcBorders>
              <w:top w:val="single" w:color="auto" w:sz="4" w:space="0"/>
              <w:left w:val="nil"/>
              <w:bottom w:val="nil"/>
              <w:right w:val="nil"/>
            </w:tcBorders>
            <w:shd w:val="clear" w:color="auto" w:fill="FFFFFF"/>
            <w:vAlign w:val="center"/>
          </w:tcPr>
          <w:p w14:paraId="32AB1F14">
            <w:pPr>
              <w:jc w:val="center"/>
              <w:rPr>
                <w:color w:val="000000"/>
              </w:rPr>
            </w:pPr>
            <w:r>
              <w:rPr>
                <w:rFonts w:hint="eastAsia"/>
                <w:color w:val="000000"/>
              </w:rPr>
              <w:t>40℃</w:t>
            </w:r>
          </w:p>
        </w:tc>
        <w:tc>
          <w:tcPr>
            <w:tcW w:w="865" w:type="pct"/>
            <w:tcBorders>
              <w:top w:val="single" w:color="auto" w:sz="4" w:space="0"/>
              <w:left w:val="nil"/>
              <w:bottom w:val="nil"/>
              <w:right w:val="nil"/>
            </w:tcBorders>
            <w:shd w:val="clear" w:color="auto" w:fill="FFFFFF"/>
            <w:vAlign w:val="center"/>
          </w:tcPr>
          <w:p w14:paraId="712E7361">
            <w:pPr>
              <w:jc w:val="center"/>
              <w:rPr>
                <w:color w:val="000000"/>
              </w:rPr>
            </w:pPr>
            <w:r>
              <w:rPr>
                <w:rFonts w:hint="eastAsia"/>
                <w:color w:val="000000"/>
              </w:rPr>
              <w:t>50℃</w:t>
            </w:r>
          </w:p>
        </w:tc>
        <w:tc>
          <w:tcPr>
            <w:tcW w:w="903" w:type="pct"/>
            <w:tcBorders>
              <w:top w:val="single" w:color="auto" w:sz="4" w:space="0"/>
              <w:left w:val="nil"/>
              <w:bottom w:val="nil"/>
              <w:right w:val="nil"/>
            </w:tcBorders>
            <w:shd w:val="clear" w:color="auto" w:fill="FFFFFF"/>
            <w:vAlign w:val="center"/>
          </w:tcPr>
          <w:p w14:paraId="56433741">
            <w:pPr>
              <w:jc w:val="center"/>
              <w:rPr>
                <w:color w:val="000000"/>
              </w:rPr>
            </w:pPr>
            <w:r>
              <w:rPr>
                <w:rFonts w:hint="eastAsia"/>
                <w:color w:val="000000"/>
              </w:rPr>
              <w:t>60℃</w:t>
            </w:r>
          </w:p>
        </w:tc>
        <w:tc>
          <w:tcPr>
            <w:tcW w:w="903" w:type="pct"/>
            <w:tcBorders>
              <w:top w:val="single" w:color="auto" w:sz="4" w:space="0"/>
              <w:left w:val="nil"/>
              <w:bottom w:val="nil"/>
              <w:right w:val="nil"/>
            </w:tcBorders>
            <w:shd w:val="clear" w:color="auto" w:fill="FFFFFF"/>
            <w:vAlign w:val="center"/>
          </w:tcPr>
          <w:p w14:paraId="6D5FF098">
            <w:pPr>
              <w:jc w:val="center"/>
              <w:rPr>
                <w:color w:val="000000"/>
              </w:rPr>
            </w:pPr>
            <w:r>
              <w:rPr>
                <w:rFonts w:hint="eastAsia"/>
                <w:color w:val="000000"/>
              </w:rPr>
              <w:t>70℃</w:t>
            </w:r>
          </w:p>
        </w:tc>
      </w:tr>
      <w:tr w14:paraId="3F431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restart"/>
            <w:tcBorders>
              <w:top w:val="single" w:color="auto" w:sz="4" w:space="0"/>
              <w:left w:val="nil"/>
              <w:right w:val="nil"/>
            </w:tcBorders>
            <w:shd w:val="clear" w:color="auto" w:fill="FFFFFF"/>
            <w:vAlign w:val="center"/>
          </w:tcPr>
          <w:p w14:paraId="7F048EF4">
            <w:pPr>
              <w:jc w:val="left"/>
              <w:rPr>
                <w:color w:val="000000"/>
              </w:rPr>
            </w:pPr>
          </w:p>
        </w:tc>
        <w:tc>
          <w:tcPr>
            <w:tcW w:w="412" w:type="pct"/>
            <w:vMerge w:val="restart"/>
            <w:tcBorders>
              <w:top w:val="single" w:color="auto" w:sz="4" w:space="0"/>
              <w:left w:val="nil"/>
              <w:right w:val="nil"/>
            </w:tcBorders>
            <w:shd w:val="clear" w:color="auto" w:fill="FFFFFF"/>
            <w:vAlign w:val="center"/>
          </w:tcPr>
          <w:p w14:paraId="03635796">
            <w:pPr>
              <w:rPr>
                <w:color w:val="000000"/>
              </w:rPr>
            </w:pPr>
          </w:p>
        </w:tc>
        <w:tc>
          <w:tcPr>
            <w:tcW w:w="554" w:type="pct"/>
            <w:tcBorders>
              <w:top w:val="single" w:color="auto" w:sz="4" w:space="0"/>
              <w:left w:val="nil"/>
              <w:bottom w:val="nil"/>
              <w:right w:val="nil"/>
            </w:tcBorders>
            <w:shd w:val="clear" w:color="auto" w:fill="FFFFFF"/>
            <w:vAlign w:val="center"/>
          </w:tcPr>
          <w:p w14:paraId="5DE87585">
            <w:pPr>
              <w:jc w:val="center"/>
              <w:rPr>
                <w:color w:val="000000"/>
              </w:rPr>
            </w:pPr>
            <w:r>
              <w:rPr>
                <w:rFonts w:hint="eastAsia"/>
                <w:color w:val="000000"/>
              </w:rPr>
              <w:t>8</w:t>
            </w:r>
          </w:p>
        </w:tc>
        <w:tc>
          <w:tcPr>
            <w:tcW w:w="948" w:type="pct"/>
            <w:tcBorders>
              <w:top w:val="single" w:color="auto" w:sz="4" w:space="0"/>
              <w:left w:val="nil"/>
              <w:bottom w:val="nil"/>
              <w:right w:val="nil"/>
            </w:tcBorders>
            <w:shd w:val="clear" w:color="auto" w:fill="FFFFFF"/>
            <w:vAlign w:val="center"/>
          </w:tcPr>
          <w:p w14:paraId="6AB855EB">
            <w:pPr>
              <w:widowControl/>
              <w:jc w:val="center"/>
              <w:textAlignment w:val="center"/>
              <w:rPr>
                <w:color w:val="000000"/>
              </w:rPr>
            </w:pPr>
            <w:r>
              <w:rPr>
                <w:color w:val="000000"/>
                <w:kern w:val="0"/>
                <w:sz w:val="22"/>
                <w:szCs w:val="22"/>
              </w:rPr>
              <w:t>-1.17</w:t>
            </w:r>
            <w:r>
              <w:rPr>
                <w:rFonts w:hint="eastAsia"/>
                <w:color w:val="000000"/>
                <w:kern w:val="0"/>
                <w:sz w:val="22"/>
                <w:szCs w:val="22"/>
              </w:rPr>
              <w:t>±1.29</w:t>
            </w:r>
            <w:r>
              <w:rPr>
                <w:rFonts w:hint="eastAsia"/>
                <w:color w:val="000000"/>
                <w:kern w:val="0"/>
                <w:sz w:val="22"/>
                <w:szCs w:val="22"/>
                <w:vertAlign w:val="superscript"/>
              </w:rPr>
              <w:t>a</w:t>
            </w:r>
          </w:p>
        </w:tc>
        <w:tc>
          <w:tcPr>
            <w:tcW w:w="865" w:type="pct"/>
            <w:tcBorders>
              <w:top w:val="single" w:color="auto" w:sz="4" w:space="0"/>
              <w:left w:val="nil"/>
              <w:bottom w:val="nil"/>
              <w:right w:val="nil"/>
            </w:tcBorders>
            <w:shd w:val="clear" w:color="auto" w:fill="FFFFFF"/>
            <w:vAlign w:val="center"/>
          </w:tcPr>
          <w:p w14:paraId="74416CF2">
            <w:pPr>
              <w:widowControl/>
              <w:jc w:val="center"/>
              <w:textAlignment w:val="center"/>
              <w:rPr>
                <w:color w:val="000000"/>
              </w:rPr>
            </w:pPr>
            <w:r>
              <w:rPr>
                <w:color w:val="000000"/>
                <w:kern w:val="0"/>
                <w:sz w:val="22"/>
                <w:szCs w:val="22"/>
              </w:rPr>
              <w:t>-0.59</w:t>
            </w:r>
            <w:r>
              <w:rPr>
                <w:rFonts w:hint="eastAsia"/>
                <w:color w:val="000000"/>
                <w:kern w:val="0"/>
                <w:sz w:val="22"/>
                <w:szCs w:val="22"/>
              </w:rPr>
              <w:t>±0.69</w:t>
            </w:r>
            <w:r>
              <w:rPr>
                <w:rFonts w:hint="eastAsia"/>
                <w:color w:val="000000"/>
                <w:kern w:val="0"/>
                <w:sz w:val="22"/>
                <w:szCs w:val="22"/>
                <w:vertAlign w:val="superscript"/>
              </w:rPr>
              <w:t>a</w:t>
            </w:r>
          </w:p>
        </w:tc>
        <w:tc>
          <w:tcPr>
            <w:tcW w:w="903" w:type="pct"/>
            <w:tcBorders>
              <w:top w:val="single" w:color="auto" w:sz="4" w:space="0"/>
              <w:left w:val="nil"/>
              <w:bottom w:val="nil"/>
              <w:right w:val="nil"/>
            </w:tcBorders>
            <w:shd w:val="clear" w:color="auto" w:fill="FFFFFF"/>
            <w:vAlign w:val="center"/>
          </w:tcPr>
          <w:p w14:paraId="4030C131">
            <w:pPr>
              <w:widowControl/>
              <w:jc w:val="center"/>
              <w:textAlignment w:val="center"/>
              <w:rPr>
                <w:color w:val="000000"/>
              </w:rPr>
            </w:pPr>
            <w:r>
              <w:rPr>
                <w:color w:val="000000"/>
                <w:kern w:val="0"/>
                <w:sz w:val="22"/>
                <w:szCs w:val="22"/>
              </w:rPr>
              <w:t>-0.44</w:t>
            </w:r>
            <w:r>
              <w:rPr>
                <w:rFonts w:hint="eastAsia"/>
                <w:color w:val="000000"/>
                <w:kern w:val="0"/>
                <w:sz w:val="22"/>
                <w:szCs w:val="22"/>
              </w:rPr>
              <w:t>±0.01</w:t>
            </w:r>
            <w:r>
              <w:rPr>
                <w:rFonts w:hint="eastAsia"/>
                <w:color w:val="000000"/>
                <w:kern w:val="0"/>
                <w:sz w:val="22"/>
                <w:szCs w:val="22"/>
                <w:vertAlign w:val="superscript"/>
              </w:rPr>
              <w:t>a</w:t>
            </w:r>
          </w:p>
        </w:tc>
        <w:tc>
          <w:tcPr>
            <w:tcW w:w="903" w:type="pct"/>
            <w:tcBorders>
              <w:top w:val="single" w:color="auto" w:sz="4" w:space="0"/>
              <w:left w:val="nil"/>
              <w:bottom w:val="nil"/>
              <w:right w:val="nil"/>
            </w:tcBorders>
            <w:shd w:val="clear" w:color="auto" w:fill="FFFFFF"/>
            <w:vAlign w:val="center"/>
          </w:tcPr>
          <w:p w14:paraId="3F1E0195">
            <w:pPr>
              <w:widowControl/>
              <w:jc w:val="center"/>
              <w:textAlignment w:val="center"/>
              <w:rPr>
                <w:color w:val="000000"/>
              </w:rPr>
            </w:pPr>
            <w:r>
              <w:rPr>
                <w:color w:val="000000"/>
                <w:kern w:val="0"/>
                <w:sz w:val="22"/>
                <w:szCs w:val="22"/>
              </w:rPr>
              <w:t>-2.175</w:t>
            </w:r>
            <w:r>
              <w:rPr>
                <w:rFonts w:hint="eastAsia"/>
                <w:color w:val="000000"/>
                <w:kern w:val="0"/>
                <w:sz w:val="22"/>
                <w:szCs w:val="22"/>
              </w:rPr>
              <w:t>±0.53</w:t>
            </w:r>
            <w:r>
              <w:rPr>
                <w:rFonts w:hint="eastAsia"/>
                <w:color w:val="000000"/>
                <w:kern w:val="0"/>
                <w:sz w:val="22"/>
                <w:szCs w:val="22"/>
                <w:vertAlign w:val="superscript"/>
              </w:rPr>
              <w:t>a</w:t>
            </w:r>
          </w:p>
        </w:tc>
      </w:tr>
      <w:tr w14:paraId="4832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556E8929">
            <w:pPr>
              <w:jc w:val="left"/>
              <w:rPr>
                <w:color w:val="000000"/>
              </w:rPr>
            </w:pPr>
          </w:p>
        </w:tc>
        <w:tc>
          <w:tcPr>
            <w:tcW w:w="412" w:type="pct"/>
            <w:vMerge w:val="continue"/>
            <w:tcBorders>
              <w:top w:val="nil"/>
              <w:left w:val="nil"/>
              <w:bottom w:val="nil"/>
              <w:right w:val="nil"/>
            </w:tcBorders>
            <w:shd w:val="clear" w:color="auto" w:fill="FFFFFF"/>
            <w:vAlign w:val="center"/>
          </w:tcPr>
          <w:p w14:paraId="3F7497E5">
            <w:pPr>
              <w:rPr>
                <w:color w:val="000000"/>
              </w:rPr>
            </w:pPr>
          </w:p>
        </w:tc>
        <w:tc>
          <w:tcPr>
            <w:tcW w:w="554" w:type="pct"/>
            <w:tcBorders>
              <w:top w:val="nil"/>
              <w:left w:val="nil"/>
              <w:bottom w:val="nil"/>
              <w:right w:val="nil"/>
            </w:tcBorders>
            <w:shd w:val="clear" w:color="auto" w:fill="FFFFFF"/>
            <w:vAlign w:val="center"/>
          </w:tcPr>
          <w:p w14:paraId="5D112B28">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536702F3">
            <w:pPr>
              <w:widowControl/>
              <w:jc w:val="center"/>
              <w:textAlignment w:val="center"/>
              <w:rPr>
                <w:color w:val="000000"/>
              </w:rPr>
            </w:pPr>
            <w:r>
              <w:rPr>
                <w:color w:val="000000"/>
                <w:kern w:val="0"/>
                <w:sz w:val="22"/>
                <w:szCs w:val="22"/>
              </w:rPr>
              <w:t>-3.315</w:t>
            </w:r>
            <w:r>
              <w:rPr>
                <w:rFonts w:hint="eastAsia"/>
                <w:color w:val="000000"/>
                <w:kern w:val="0"/>
                <w:sz w:val="22"/>
                <w:szCs w:val="22"/>
              </w:rPr>
              <w:t>±0.22</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560FC005">
            <w:pPr>
              <w:widowControl/>
              <w:jc w:val="center"/>
              <w:textAlignment w:val="center"/>
              <w:rPr>
                <w:color w:val="000000"/>
              </w:rPr>
            </w:pPr>
            <w:r>
              <w:rPr>
                <w:color w:val="000000"/>
                <w:kern w:val="0"/>
                <w:sz w:val="22"/>
                <w:szCs w:val="22"/>
              </w:rPr>
              <w:t>-1.725</w:t>
            </w:r>
            <w:r>
              <w:rPr>
                <w:rFonts w:hint="eastAsia"/>
                <w:color w:val="000000"/>
                <w:kern w:val="0"/>
                <w:sz w:val="22"/>
                <w:szCs w:val="22"/>
              </w:rPr>
              <w:t>±0.90</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04095B7B">
            <w:pPr>
              <w:widowControl/>
              <w:jc w:val="center"/>
              <w:textAlignment w:val="center"/>
              <w:rPr>
                <w:color w:val="000000"/>
              </w:rPr>
            </w:pPr>
            <w:r>
              <w:rPr>
                <w:color w:val="000000"/>
                <w:kern w:val="0"/>
                <w:sz w:val="22"/>
                <w:szCs w:val="22"/>
              </w:rPr>
              <w:t>-1.46</w:t>
            </w:r>
            <w:r>
              <w:rPr>
                <w:rFonts w:hint="eastAsia"/>
                <w:color w:val="000000"/>
                <w:kern w:val="0"/>
                <w:sz w:val="22"/>
                <w:szCs w:val="22"/>
              </w:rPr>
              <w:t>±0.40</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20787658">
            <w:pPr>
              <w:widowControl/>
              <w:jc w:val="center"/>
              <w:textAlignment w:val="center"/>
              <w:rPr>
                <w:color w:val="000000"/>
              </w:rPr>
            </w:pPr>
            <w:r>
              <w:rPr>
                <w:color w:val="000000"/>
                <w:kern w:val="0"/>
                <w:sz w:val="22"/>
                <w:szCs w:val="22"/>
              </w:rPr>
              <w:t>-2.95</w:t>
            </w:r>
            <w:r>
              <w:rPr>
                <w:rFonts w:hint="eastAsia"/>
                <w:color w:val="000000"/>
                <w:kern w:val="0"/>
                <w:sz w:val="22"/>
                <w:szCs w:val="22"/>
              </w:rPr>
              <w:t>±0.17</w:t>
            </w:r>
            <w:r>
              <w:rPr>
                <w:rFonts w:hint="eastAsia"/>
                <w:color w:val="000000"/>
                <w:kern w:val="0"/>
                <w:sz w:val="22"/>
                <w:szCs w:val="22"/>
                <w:vertAlign w:val="superscript"/>
              </w:rPr>
              <w:t>a</w:t>
            </w:r>
          </w:p>
        </w:tc>
      </w:tr>
      <w:tr w14:paraId="2C3B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579AD083">
            <w:pPr>
              <w:jc w:val="left"/>
              <w:rPr>
                <w:color w:val="000000"/>
              </w:rPr>
            </w:pPr>
          </w:p>
        </w:tc>
        <w:tc>
          <w:tcPr>
            <w:tcW w:w="412" w:type="pct"/>
            <w:vMerge w:val="continue"/>
            <w:tcBorders>
              <w:top w:val="nil"/>
              <w:left w:val="nil"/>
              <w:bottom w:val="nil"/>
              <w:right w:val="nil"/>
            </w:tcBorders>
            <w:shd w:val="clear" w:color="auto" w:fill="FFFFFF"/>
            <w:vAlign w:val="center"/>
          </w:tcPr>
          <w:p w14:paraId="04B19765">
            <w:pPr>
              <w:rPr>
                <w:color w:val="000000"/>
              </w:rPr>
            </w:pPr>
          </w:p>
        </w:tc>
        <w:tc>
          <w:tcPr>
            <w:tcW w:w="554" w:type="pct"/>
            <w:tcBorders>
              <w:top w:val="nil"/>
              <w:left w:val="nil"/>
              <w:bottom w:val="nil"/>
              <w:right w:val="nil"/>
            </w:tcBorders>
            <w:shd w:val="clear" w:color="auto" w:fill="FFFFFF"/>
            <w:vAlign w:val="center"/>
          </w:tcPr>
          <w:p w14:paraId="2EADA016">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1765B9F4">
            <w:pPr>
              <w:widowControl/>
              <w:jc w:val="center"/>
              <w:textAlignment w:val="center"/>
              <w:rPr>
                <w:color w:val="000000"/>
              </w:rPr>
            </w:pPr>
            <w:r>
              <w:rPr>
                <w:color w:val="000000"/>
                <w:kern w:val="0"/>
                <w:sz w:val="22"/>
                <w:szCs w:val="22"/>
              </w:rPr>
              <w:t>-2.815</w:t>
            </w:r>
            <w:r>
              <w:rPr>
                <w:rFonts w:hint="eastAsia"/>
                <w:color w:val="000000"/>
                <w:kern w:val="0"/>
                <w:sz w:val="22"/>
                <w:szCs w:val="22"/>
              </w:rPr>
              <w:t>±0.87</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51608147">
            <w:pPr>
              <w:widowControl/>
              <w:jc w:val="center"/>
              <w:textAlignment w:val="center"/>
              <w:rPr>
                <w:color w:val="000000"/>
              </w:rPr>
            </w:pPr>
            <w:r>
              <w:rPr>
                <w:color w:val="000000"/>
                <w:kern w:val="0"/>
                <w:sz w:val="22"/>
                <w:szCs w:val="22"/>
              </w:rPr>
              <w:t>-1.625</w:t>
            </w:r>
            <w:r>
              <w:rPr>
                <w:rFonts w:hint="eastAsia"/>
                <w:color w:val="000000"/>
                <w:kern w:val="0"/>
                <w:sz w:val="22"/>
                <w:szCs w:val="22"/>
              </w:rPr>
              <w:t>±1.11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F5D488F">
            <w:pPr>
              <w:widowControl/>
              <w:jc w:val="center"/>
              <w:textAlignment w:val="center"/>
              <w:rPr>
                <w:color w:val="000000"/>
              </w:rPr>
            </w:pPr>
            <w:r>
              <w:rPr>
                <w:color w:val="000000"/>
                <w:kern w:val="0"/>
                <w:sz w:val="22"/>
                <w:szCs w:val="22"/>
              </w:rPr>
              <w:t>-2.41</w:t>
            </w:r>
            <w:r>
              <w:rPr>
                <w:rFonts w:hint="eastAsia"/>
                <w:color w:val="000000"/>
                <w:kern w:val="0"/>
                <w:sz w:val="22"/>
                <w:szCs w:val="22"/>
              </w:rPr>
              <w:t>±0.42</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E30C48B">
            <w:pPr>
              <w:widowControl/>
              <w:jc w:val="center"/>
              <w:textAlignment w:val="center"/>
              <w:rPr>
                <w:color w:val="000000"/>
              </w:rPr>
            </w:pPr>
            <w:r>
              <w:rPr>
                <w:color w:val="000000"/>
                <w:kern w:val="0"/>
                <w:sz w:val="22"/>
                <w:szCs w:val="22"/>
              </w:rPr>
              <w:t>-2.51</w:t>
            </w:r>
            <w:r>
              <w:rPr>
                <w:rFonts w:hint="eastAsia"/>
                <w:color w:val="000000"/>
                <w:kern w:val="0"/>
                <w:sz w:val="22"/>
                <w:szCs w:val="22"/>
              </w:rPr>
              <w:t>±0.58</w:t>
            </w:r>
            <w:r>
              <w:rPr>
                <w:rFonts w:hint="eastAsia"/>
                <w:color w:val="000000"/>
                <w:kern w:val="0"/>
                <w:sz w:val="22"/>
                <w:szCs w:val="22"/>
                <w:vertAlign w:val="superscript"/>
              </w:rPr>
              <w:t>a</w:t>
            </w:r>
          </w:p>
        </w:tc>
      </w:tr>
      <w:tr w14:paraId="3B6F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35E5DE0F">
            <w:pPr>
              <w:jc w:val="left"/>
              <w:rPr>
                <w:color w:val="000000"/>
              </w:rPr>
            </w:pPr>
          </w:p>
        </w:tc>
        <w:tc>
          <w:tcPr>
            <w:tcW w:w="412" w:type="pct"/>
            <w:vMerge w:val="restart"/>
            <w:tcBorders>
              <w:top w:val="nil"/>
              <w:left w:val="nil"/>
              <w:bottom w:val="nil"/>
              <w:right w:val="nil"/>
            </w:tcBorders>
            <w:shd w:val="clear" w:color="auto" w:fill="FFFFFF"/>
            <w:vAlign w:val="center"/>
          </w:tcPr>
          <w:p w14:paraId="19B8FD9D">
            <w:pPr>
              <w:jc w:val="center"/>
              <w:rPr>
                <w:color w:val="000000"/>
              </w:rPr>
            </w:pPr>
            <w:r>
              <w:rPr>
                <w:rFonts w:hint="eastAsia"/>
                <w:color w:val="000000"/>
              </w:rPr>
              <w:t>40d</w:t>
            </w:r>
          </w:p>
        </w:tc>
        <w:tc>
          <w:tcPr>
            <w:tcW w:w="554" w:type="pct"/>
            <w:tcBorders>
              <w:top w:val="nil"/>
              <w:left w:val="nil"/>
              <w:bottom w:val="nil"/>
              <w:right w:val="nil"/>
            </w:tcBorders>
            <w:shd w:val="clear" w:color="auto" w:fill="FFFFFF"/>
            <w:vAlign w:val="center"/>
          </w:tcPr>
          <w:p w14:paraId="612B4CE7">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6F2F5642">
            <w:pPr>
              <w:widowControl/>
              <w:jc w:val="center"/>
              <w:textAlignment w:val="center"/>
              <w:rPr>
                <w:color w:val="000000"/>
              </w:rPr>
            </w:pPr>
            <w:r>
              <w:rPr>
                <w:color w:val="000000"/>
                <w:kern w:val="0"/>
                <w:sz w:val="22"/>
                <w:szCs w:val="22"/>
              </w:rPr>
              <w:t>-1.37</w:t>
            </w:r>
            <w:r>
              <w:rPr>
                <w:rFonts w:hint="eastAsia"/>
                <w:color w:val="000000"/>
                <w:kern w:val="0"/>
                <w:sz w:val="22"/>
                <w:szCs w:val="22"/>
              </w:rPr>
              <w:t>±0.51</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3B3E1045">
            <w:pPr>
              <w:widowControl/>
              <w:jc w:val="center"/>
              <w:textAlignment w:val="center"/>
              <w:rPr>
                <w:color w:val="000000"/>
              </w:rPr>
            </w:pPr>
            <w:r>
              <w:rPr>
                <w:color w:val="000000"/>
                <w:kern w:val="0"/>
                <w:sz w:val="22"/>
                <w:szCs w:val="22"/>
              </w:rPr>
              <w:t>-0.565</w:t>
            </w:r>
            <w:r>
              <w:rPr>
                <w:rFonts w:hint="eastAsia"/>
                <w:color w:val="000000"/>
                <w:kern w:val="0"/>
                <w:sz w:val="22"/>
                <w:szCs w:val="22"/>
              </w:rPr>
              <w:t>±0.54</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A5D9070">
            <w:pPr>
              <w:widowControl/>
              <w:jc w:val="center"/>
              <w:textAlignment w:val="center"/>
              <w:rPr>
                <w:color w:val="000000"/>
              </w:rPr>
            </w:pPr>
            <w:r>
              <w:rPr>
                <w:color w:val="000000"/>
                <w:kern w:val="0"/>
                <w:sz w:val="22"/>
                <w:szCs w:val="22"/>
              </w:rPr>
              <w:t>-1.13</w:t>
            </w:r>
            <w:r>
              <w:rPr>
                <w:rFonts w:hint="eastAsia"/>
                <w:color w:val="000000"/>
                <w:kern w:val="0"/>
                <w:sz w:val="22"/>
                <w:szCs w:val="22"/>
              </w:rPr>
              <w:t>±0.61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7488D771">
            <w:pPr>
              <w:widowControl/>
              <w:jc w:val="center"/>
              <w:textAlignment w:val="center"/>
              <w:rPr>
                <w:color w:val="000000"/>
              </w:rPr>
            </w:pPr>
            <w:r>
              <w:rPr>
                <w:color w:val="000000"/>
                <w:kern w:val="0"/>
                <w:sz w:val="22"/>
                <w:szCs w:val="22"/>
              </w:rPr>
              <w:t>-1.205</w:t>
            </w:r>
            <w:r>
              <w:rPr>
                <w:rFonts w:hint="eastAsia"/>
                <w:color w:val="000000"/>
                <w:kern w:val="0"/>
                <w:sz w:val="22"/>
                <w:szCs w:val="22"/>
              </w:rPr>
              <w:t>±0.81</w:t>
            </w:r>
            <w:r>
              <w:rPr>
                <w:rFonts w:hint="eastAsia"/>
                <w:color w:val="000000"/>
                <w:kern w:val="0"/>
                <w:sz w:val="22"/>
                <w:szCs w:val="22"/>
                <w:vertAlign w:val="superscript"/>
              </w:rPr>
              <w:t>a</w:t>
            </w:r>
          </w:p>
        </w:tc>
      </w:tr>
      <w:tr w14:paraId="05506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0339D9CE">
            <w:pPr>
              <w:jc w:val="left"/>
              <w:rPr>
                <w:color w:val="000000"/>
              </w:rPr>
            </w:pPr>
          </w:p>
        </w:tc>
        <w:tc>
          <w:tcPr>
            <w:tcW w:w="412" w:type="pct"/>
            <w:vMerge w:val="continue"/>
            <w:tcBorders>
              <w:top w:val="nil"/>
              <w:left w:val="nil"/>
              <w:bottom w:val="nil"/>
              <w:right w:val="nil"/>
            </w:tcBorders>
            <w:shd w:val="clear" w:color="auto" w:fill="FFFFFF"/>
            <w:vAlign w:val="center"/>
          </w:tcPr>
          <w:p w14:paraId="16A9B129">
            <w:pPr>
              <w:rPr>
                <w:color w:val="000000"/>
              </w:rPr>
            </w:pPr>
          </w:p>
        </w:tc>
        <w:tc>
          <w:tcPr>
            <w:tcW w:w="554" w:type="pct"/>
            <w:tcBorders>
              <w:top w:val="nil"/>
              <w:left w:val="nil"/>
              <w:bottom w:val="nil"/>
              <w:right w:val="nil"/>
            </w:tcBorders>
            <w:shd w:val="clear" w:color="auto" w:fill="FFFFFF"/>
            <w:vAlign w:val="center"/>
          </w:tcPr>
          <w:p w14:paraId="16C1362A">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27EF4C44">
            <w:pPr>
              <w:widowControl/>
              <w:jc w:val="center"/>
              <w:textAlignment w:val="center"/>
              <w:rPr>
                <w:color w:val="000000"/>
              </w:rPr>
            </w:pPr>
            <w:r>
              <w:rPr>
                <w:color w:val="000000"/>
                <w:kern w:val="0"/>
                <w:sz w:val="22"/>
                <w:szCs w:val="22"/>
              </w:rPr>
              <w:t>-1.365</w:t>
            </w:r>
            <w:r>
              <w:rPr>
                <w:rFonts w:hint="eastAsia"/>
                <w:color w:val="000000"/>
                <w:kern w:val="0"/>
                <w:sz w:val="22"/>
                <w:szCs w:val="22"/>
              </w:rPr>
              <w:t>±0.04</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4ED949D8">
            <w:pPr>
              <w:widowControl/>
              <w:jc w:val="center"/>
              <w:textAlignment w:val="center"/>
              <w:rPr>
                <w:color w:val="000000"/>
              </w:rPr>
            </w:pPr>
            <w:r>
              <w:rPr>
                <w:color w:val="000000"/>
                <w:kern w:val="0"/>
                <w:sz w:val="22"/>
                <w:szCs w:val="22"/>
              </w:rPr>
              <w:t>-1.195</w:t>
            </w:r>
            <w:r>
              <w:rPr>
                <w:rFonts w:hint="eastAsia"/>
                <w:color w:val="000000"/>
                <w:kern w:val="0"/>
                <w:sz w:val="22"/>
                <w:szCs w:val="22"/>
              </w:rPr>
              <w:t>±0,25</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2F92255E">
            <w:pPr>
              <w:widowControl/>
              <w:jc w:val="center"/>
              <w:textAlignment w:val="center"/>
              <w:rPr>
                <w:color w:val="000000"/>
              </w:rPr>
            </w:pPr>
            <w:r>
              <w:rPr>
                <w:color w:val="000000"/>
                <w:kern w:val="0"/>
                <w:sz w:val="22"/>
                <w:szCs w:val="22"/>
              </w:rPr>
              <w:t>-1.82</w:t>
            </w:r>
            <w:r>
              <w:rPr>
                <w:rFonts w:hint="eastAsia"/>
                <w:color w:val="000000"/>
                <w:kern w:val="0"/>
                <w:sz w:val="22"/>
                <w:szCs w:val="22"/>
              </w:rPr>
              <w:t>±0.57</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9441EC4">
            <w:pPr>
              <w:widowControl/>
              <w:jc w:val="center"/>
              <w:textAlignment w:val="center"/>
              <w:rPr>
                <w:color w:val="000000"/>
              </w:rPr>
            </w:pPr>
            <w:r>
              <w:rPr>
                <w:color w:val="000000"/>
                <w:kern w:val="0"/>
                <w:sz w:val="22"/>
                <w:szCs w:val="22"/>
              </w:rPr>
              <w:t>-2.2</w:t>
            </w:r>
            <w:r>
              <w:rPr>
                <w:rFonts w:hint="eastAsia"/>
                <w:color w:val="000000"/>
                <w:kern w:val="0"/>
                <w:sz w:val="22"/>
                <w:szCs w:val="22"/>
              </w:rPr>
              <w:t>±0.72</w:t>
            </w:r>
            <w:r>
              <w:rPr>
                <w:rFonts w:hint="eastAsia"/>
                <w:color w:val="000000"/>
                <w:kern w:val="0"/>
                <w:sz w:val="22"/>
                <w:szCs w:val="22"/>
                <w:vertAlign w:val="superscript"/>
              </w:rPr>
              <w:t>a</w:t>
            </w:r>
          </w:p>
        </w:tc>
      </w:tr>
      <w:tr w14:paraId="2BB8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173F7310">
            <w:pPr>
              <w:jc w:val="left"/>
              <w:rPr>
                <w:color w:val="000000"/>
              </w:rPr>
            </w:pPr>
          </w:p>
        </w:tc>
        <w:tc>
          <w:tcPr>
            <w:tcW w:w="412" w:type="pct"/>
            <w:vMerge w:val="continue"/>
            <w:tcBorders>
              <w:top w:val="nil"/>
              <w:left w:val="nil"/>
              <w:bottom w:val="nil"/>
              <w:right w:val="nil"/>
            </w:tcBorders>
            <w:shd w:val="clear" w:color="auto" w:fill="FFFFFF"/>
            <w:vAlign w:val="center"/>
          </w:tcPr>
          <w:p w14:paraId="6ADDDA61">
            <w:pPr>
              <w:jc w:val="center"/>
              <w:rPr>
                <w:color w:val="000000"/>
              </w:rPr>
            </w:pPr>
          </w:p>
        </w:tc>
        <w:tc>
          <w:tcPr>
            <w:tcW w:w="554" w:type="pct"/>
            <w:tcBorders>
              <w:top w:val="nil"/>
              <w:left w:val="nil"/>
              <w:bottom w:val="nil"/>
              <w:right w:val="nil"/>
            </w:tcBorders>
            <w:shd w:val="clear" w:color="auto" w:fill="FFFFFF"/>
            <w:vAlign w:val="center"/>
          </w:tcPr>
          <w:p w14:paraId="2D9D00F1">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40098842">
            <w:pPr>
              <w:widowControl/>
              <w:jc w:val="center"/>
              <w:textAlignment w:val="center"/>
              <w:rPr>
                <w:color w:val="000000"/>
              </w:rPr>
            </w:pPr>
            <w:r>
              <w:rPr>
                <w:color w:val="000000"/>
                <w:kern w:val="0"/>
                <w:sz w:val="22"/>
                <w:szCs w:val="22"/>
              </w:rPr>
              <w:t>-1.545</w:t>
            </w:r>
            <w:r>
              <w:rPr>
                <w:rFonts w:hint="eastAsia"/>
                <w:color w:val="000000"/>
                <w:kern w:val="0"/>
                <w:sz w:val="22"/>
                <w:szCs w:val="22"/>
              </w:rPr>
              <w:t>±0.50</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7E5CF98E">
            <w:pPr>
              <w:widowControl/>
              <w:jc w:val="center"/>
              <w:textAlignment w:val="center"/>
              <w:rPr>
                <w:color w:val="000000"/>
              </w:rPr>
            </w:pPr>
            <w:r>
              <w:rPr>
                <w:color w:val="000000"/>
                <w:kern w:val="0"/>
                <w:sz w:val="22"/>
                <w:szCs w:val="22"/>
              </w:rPr>
              <w:t>-1.37</w:t>
            </w:r>
            <w:r>
              <w:rPr>
                <w:rFonts w:hint="eastAsia"/>
                <w:color w:val="000000"/>
                <w:kern w:val="0"/>
                <w:sz w:val="22"/>
                <w:szCs w:val="22"/>
              </w:rPr>
              <w:t>±0.38</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11090E1">
            <w:pPr>
              <w:widowControl/>
              <w:jc w:val="center"/>
              <w:textAlignment w:val="center"/>
              <w:rPr>
                <w:color w:val="000000"/>
              </w:rPr>
            </w:pPr>
            <w:r>
              <w:rPr>
                <w:color w:val="000000"/>
                <w:kern w:val="0"/>
                <w:sz w:val="22"/>
                <w:szCs w:val="22"/>
              </w:rPr>
              <w:t>-2.43</w:t>
            </w:r>
            <w:r>
              <w:rPr>
                <w:rFonts w:hint="eastAsia"/>
                <w:color w:val="000000"/>
                <w:kern w:val="0"/>
                <w:sz w:val="22"/>
                <w:szCs w:val="22"/>
              </w:rPr>
              <w:t>±0.03</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4CF7528">
            <w:pPr>
              <w:widowControl/>
              <w:jc w:val="center"/>
              <w:textAlignment w:val="center"/>
              <w:rPr>
                <w:color w:val="000000"/>
              </w:rPr>
            </w:pPr>
            <w:r>
              <w:rPr>
                <w:color w:val="000000"/>
                <w:kern w:val="0"/>
                <w:sz w:val="22"/>
                <w:szCs w:val="22"/>
              </w:rPr>
              <w:t>-2.62</w:t>
            </w:r>
            <w:r>
              <w:rPr>
                <w:rFonts w:hint="eastAsia"/>
                <w:color w:val="000000"/>
                <w:kern w:val="0"/>
                <w:sz w:val="22"/>
                <w:szCs w:val="22"/>
              </w:rPr>
              <w:t>±0.23</w:t>
            </w:r>
            <w:r>
              <w:rPr>
                <w:rFonts w:hint="eastAsia"/>
                <w:color w:val="000000"/>
                <w:kern w:val="0"/>
                <w:sz w:val="22"/>
                <w:szCs w:val="22"/>
                <w:vertAlign w:val="superscript"/>
              </w:rPr>
              <w:t>a</w:t>
            </w:r>
          </w:p>
        </w:tc>
      </w:tr>
      <w:tr w14:paraId="1C38D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557BB5FD">
            <w:pPr>
              <w:jc w:val="left"/>
              <w:rPr>
                <w:color w:val="000000"/>
              </w:rPr>
            </w:pPr>
          </w:p>
        </w:tc>
        <w:tc>
          <w:tcPr>
            <w:tcW w:w="412" w:type="pct"/>
            <w:vMerge w:val="continue"/>
            <w:tcBorders>
              <w:top w:val="nil"/>
              <w:left w:val="nil"/>
              <w:bottom w:val="nil"/>
              <w:right w:val="nil"/>
            </w:tcBorders>
            <w:shd w:val="clear" w:color="auto" w:fill="FFFFFF"/>
            <w:vAlign w:val="center"/>
          </w:tcPr>
          <w:p w14:paraId="00DFE52A">
            <w:pPr>
              <w:rPr>
                <w:color w:val="000000"/>
              </w:rPr>
            </w:pPr>
          </w:p>
        </w:tc>
        <w:tc>
          <w:tcPr>
            <w:tcW w:w="554" w:type="pct"/>
            <w:tcBorders>
              <w:top w:val="nil"/>
              <w:left w:val="nil"/>
              <w:bottom w:val="nil"/>
              <w:right w:val="nil"/>
            </w:tcBorders>
            <w:shd w:val="clear" w:color="auto" w:fill="FFFFFF"/>
            <w:vAlign w:val="center"/>
          </w:tcPr>
          <w:p w14:paraId="65912850">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60A16ED0">
            <w:pPr>
              <w:widowControl/>
              <w:jc w:val="center"/>
              <w:textAlignment w:val="center"/>
              <w:rPr>
                <w:color w:val="000000"/>
              </w:rPr>
            </w:pPr>
            <w:r>
              <w:rPr>
                <w:color w:val="000000"/>
                <w:kern w:val="0"/>
                <w:sz w:val="22"/>
                <w:szCs w:val="22"/>
              </w:rPr>
              <w:t>-1.895</w:t>
            </w:r>
            <w:r>
              <w:rPr>
                <w:rFonts w:hint="eastAsia"/>
                <w:color w:val="000000"/>
                <w:kern w:val="0"/>
                <w:sz w:val="22"/>
                <w:szCs w:val="22"/>
              </w:rPr>
              <w:t>±0.19</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79312AF0">
            <w:pPr>
              <w:widowControl/>
              <w:jc w:val="center"/>
              <w:textAlignment w:val="center"/>
              <w:rPr>
                <w:color w:val="000000"/>
              </w:rPr>
            </w:pPr>
            <w:r>
              <w:rPr>
                <w:color w:val="000000"/>
                <w:kern w:val="0"/>
                <w:sz w:val="22"/>
                <w:szCs w:val="22"/>
              </w:rPr>
              <w:t>-2.115</w:t>
            </w:r>
            <w:r>
              <w:rPr>
                <w:rFonts w:hint="eastAsia"/>
                <w:color w:val="000000"/>
                <w:kern w:val="0"/>
                <w:sz w:val="22"/>
                <w:szCs w:val="22"/>
              </w:rPr>
              <w:t>±0.57</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C019109">
            <w:pPr>
              <w:widowControl/>
              <w:jc w:val="center"/>
              <w:textAlignment w:val="center"/>
              <w:rPr>
                <w:color w:val="000000"/>
              </w:rPr>
            </w:pPr>
            <w:r>
              <w:rPr>
                <w:color w:val="000000"/>
                <w:kern w:val="0"/>
                <w:sz w:val="22"/>
                <w:szCs w:val="22"/>
              </w:rPr>
              <w:t>-2.59</w:t>
            </w:r>
            <w:r>
              <w:rPr>
                <w:rFonts w:hint="eastAsia"/>
                <w:color w:val="000000"/>
                <w:kern w:val="0"/>
                <w:sz w:val="22"/>
                <w:szCs w:val="22"/>
              </w:rPr>
              <w:t>±0.48</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41ED28E">
            <w:pPr>
              <w:widowControl/>
              <w:jc w:val="center"/>
              <w:textAlignment w:val="center"/>
              <w:rPr>
                <w:color w:val="000000"/>
              </w:rPr>
            </w:pPr>
            <w:r>
              <w:rPr>
                <w:color w:val="000000"/>
                <w:kern w:val="0"/>
                <w:sz w:val="22"/>
                <w:szCs w:val="22"/>
              </w:rPr>
              <w:t>-2.865</w:t>
            </w:r>
            <w:r>
              <w:rPr>
                <w:rFonts w:hint="eastAsia"/>
                <w:color w:val="000000"/>
                <w:kern w:val="0"/>
                <w:sz w:val="22"/>
                <w:szCs w:val="22"/>
              </w:rPr>
              <w:t>±0.71</w:t>
            </w:r>
            <w:r>
              <w:rPr>
                <w:rFonts w:hint="eastAsia"/>
                <w:color w:val="000000"/>
                <w:kern w:val="0"/>
                <w:sz w:val="22"/>
                <w:szCs w:val="22"/>
                <w:vertAlign w:val="superscript"/>
              </w:rPr>
              <w:t>a</w:t>
            </w:r>
          </w:p>
        </w:tc>
      </w:tr>
      <w:tr w14:paraId="3013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restart"/>
            <w:tcBorders>
              <w:top w:val="nil"/>
              <w:left w:val="nil"/>
              <w:bottom w:val="nil"/>
              <w:right w:val="nil"/>
            </w:tcBorders>
            <w:shd w:val="clear" w:color="auto" w:fill="FFFFFF"/>
            <w:vAlign w:val="center"/>
          </w:tcPr>
          <w:p w14:paraId="11AA5156">
            <w:pPr>
              <w:jc w:val="center"/>
              <w:rPr>
                <w:color w:val="000000"/>
              </w:rPr>
            </w:pPr>
            <w:r>
              <w:rPr>
                <w:rFonts w:hint="eastAsia"/>
                <w:color w:val="000000"/>
              </w:rPr>
              <w:t>a</w:t>
            </w:r>
          </w:p>
        </w:tc>
        <w:tc>
          <w:tcPr>
            <w:tcW w:w="412" w:type="pct"/>
            <w:vMerge w:val="restart"/>
            <w:tcBorders>
              <w:top w:val="nil"/>
              <w:left w:val="nil"/>
              <w:bottom w:val="nil"/>
              <w:right w:val="nil"/>
            </w:tcBorders>
            <w:shd w:val="clear" w:color="auto" w:fill="FFFFFF"/>
            <w:vAlign w:val="center"/>
          </w:tcPr>
          <w:p w14:paraId="0533EDB9">
            <w:pPr>
              <w:jc w:val="center"/>
              <w:rPr>
                <w:color w:val="000000"/>
              </w:rPr>
            </w:pPr>
            <w:r>
              <w:rPr>
                <w:rFonts w:hint="eastAsia"/>
                <w:color w:val="000000"/>
              </w:rPr>
              <w:t>10d</w:t>
            </w:r>
          </w:p>
        </w:tc>
        <w:tc>
          <w:tcPr>
            <w:tcW w:w="554" w:type="pct"/>
            <w:tcBorders>
              <w:top w:val="nil"/>
              <w:left w:val="nil"/>
              <w:bottom w:val="nil"/>
              <w:right w:val="nil"/>
            </w:tcBorders>
            <w:shd w:val="clear" w:color="auto" w:fill="FFFFFF"/>
            <w:vAlign w:val="center"/>
          </w:tcPr>
          <w:p w14:paraId="0B55DF63">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4F1DDF98">
            <w:pPr>
              <w:widowControl/>
              <w:jc w:val="center"/>
              <w:textAlignment w:val="center"/>
              <w:rPr>
                <w:color w:val="000000"/>
              </w:rPr>
            </w:pPr>
            <w:r>
              <w:rPr>
                <w:color w:val="000000"/>
                <w:kern w:val="0"/>
                <w:sz w:val="22"/>
                <w:szCs w:val="22"/>
              </w:rPr>
              <w:t>-0.93</w:t>
            </w:r>
            <w:r>
              <w:rPr>
                <w:rFonts w:hint="eastAsia"/>
                <w:color w:val="000000"/>
                <w:kern w:val="0"/>
                <w:sz w:val="22"/>
                <w:szCs w:val="22"/>
              </w:rPr>
              <w:t>±0.18</w:t>
            </w:r>
            <w:r>
              <w:rPr>
                <w:rFonts w:hint="eastAsia"/>
                <w:color w:val="000000"/>
                <w:kern w:val="0"/>
                <w:sz w:val="22"/>
                <w:szCs w:val="22"/>
                <w:vertAlign w:val="superscript"/>
              </w:rPr>
              <w:t>b</w:t>
            </w:r>
          </w:p>
        </w:tc>
        <w:tc>
          <w:tcPr>
            <w:tcW w:w="865" w:type="pct"/>
            <w:tcBorders>
              <w:top w:val="nil"/>
              <w:left w:val="nil"/>
              <w:bottom w:val="nil"/>
              <w:right w:val="nil"/>
            </w:tcBorders>
            <w:shd w:val="clear" w:color="auto" w:fill="FFFFFF"/>
            <w:vAlign w:val="center"/>
          </w:tcPr>
          <w:p w14:paraId="0D4591E6">
            <w:pPr>
              <w:widowControl/>
              <w:jc w:val="center"/>
              <w:textAlignment w:val="center"/>
              <w:rPr>
                <w:color w:val="000000"/>
              </w:rPr>
            </w:pPr>
            <w:r>
              <w:rPr>
                <w:color w:val="000000"/>
                <w:kern w:val="0"/>
                <w:sz w:val="22"/>
                <w:szCs w:val="22"/>
              </w:rPr>
              <w:t>-0.475</w:t>
            </w:r>
            <w:r>
              <w:rPr>
                <w:rFonts w:hint="eastAsia"/>
                <w:color w:val="000000"/>
                <w:kern w:val="0"/>
                <w:sz w:val="22"/>
                <w:szCs w:val="22"/>
              </w:rPr>
              <w:t>±0.06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E031E7C">
            <w:pPr>
              <w:widowControl/>
              <w:jc w:val="center"/>
              <w:textAlignment w:val="center"/>
              <w:rPr>
                <w:color w:val="000000"/>
              </w:rPr>
            </w:pPr>
            <w:r>
              <w:rPr>
                <w:color w:val="000000"/>
                <w:kern w:val="0"/>
                <w:sz w:val="22"/>
                <w:szCs w:val="22"/>
              </w:rPr>
              <w:t>-0.385</w:t>
            </w:r>
            <w:r>
              <w:rPr>
                <w:rFonts w:hint="eastAsia"/>
                <w:color w:val="000000"/>
                <w:kern w:val="0"/>
                <w:sz w:val="22"/>
                <w:szCs w:val="22"/>
              </w:rPr>
              <w:t>±0.21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1A7F505E">
            <w:pPr>
              <w:widowControl/>
              <w:jc w:val="center"/>
              <w:textAlignment w:val="center"/>
              <w:rPr>
                <w:color w:val="000000"/>
              </w:rPr>
            </w:pPr>
            <w:r>
              <w:rPr>
                <w:color w:val="000000"/>
                <w:kern w:val="0"/>
                <w:sz w:val="22"/>
                <w:szCs w:val="22"/>
              </w:rPr>
              <w:t>-0.585</w:t>
            </w:r>
            <w:r>
              <w:rPr>
                <w:rFonts w:hint="eastAsia"/>
                <w:color w:val="000000"/>
                <w:kern w:val="0"/>
                <w:sz w:val="22"/>
                <w:szCs w:val="22"/>
              </w:rPr>
              <w:t>±0.02</w:t>
            </w:r>
            <w:r>
              <w:rPr>
                <w:rFonts w:hint="eastAsia"/>
                <w:color w:val="000000"/>
                <w:kern w:val="0"/>
                <w:sz w:val="22"/>
                <w:szCs w:val="22"/>
                <w:vertAlign w:val="superscript"/>
              </w:rPr>
              <w:t>a</w:t>
            </w:r>
          </w:p>
        </w:tc>
      </w:tr>
      <w:tr w14:paraId="14971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3329AC35">
            <w:pPr>
              <w:rPr>
                <w:color w:val="000000"/>
              </w:rPr>
            </w:pPr>
          </w:p>
        </w:tc>
        <w:tc>
          <w:tcPr>
            <w:tcW w:w="412" w:type="pct"/>
            <w:vMerge w:val="continue"/>
            <w:tcBorders>
              <w:top w:val="nil"/>
              <w:left w:val="nil"/>
              <w:bottom w:val="nil"/>
              <w:right w:val="nil"/>
            </w:tcBorders>
            <w:shd w:val="clear" w:color="auto" w:fill="FFFFFF"/>
            <w:vAlign w:val="center"/>
          </w:tcPr>
          <w:p w14:paraId="55A63DB7">
            <w:pPr>
              <w:rPr>
                <w:color w:val="000000"/>
              </w:rPr>
            </w:pPr>
          </w:p>
        </w:tc>
        <w:tc>
          <w:tcPr>
            <w:tcW w:w="554" w:type="pct"/>
            <w:tcBorders>
              <w:top w:val="nil"/>
              <w:left w:val="nil"/>
              <w:bottom w:val="nil"/>
              <w:right w:val="nil"/>
            </w:tcBorders>
            <w:shd w:val="clear" w:color="auto" w:fill="FFFFFF"/>
            <w:vAlign w:val="center"/>
          </w:tcPr>
          <w:p w14:paraId="41C03E2C">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0AB0B2F3">
            <w:pPr>
              <w:widowControl/>
              <w:jc w:val="center"/>
              <w:textAlignment w:val="center"/>
              <w:rPr>
                <w:color w:val="000000"/>
              </w:rPr>
            </w:pPr>
            <w:r>
              <w:rPr>
                <w:color w:val="000000"/>
                <w:kern w:val="0"/>
                <w:sz w:val="22"/>
                <w:szCs w:val="22"/>
              </w:rPr>
              <w:t>-0.885</w:t>
            </w:r>
            <w:r>
              <w:rPr>
                <w:rFonts w:hint="eastAsia"/>
                <w:color w:val="000000"/>
                <w:kern w:val="0"/>
                <w:sz w:val="22"/>
                <w:szCs w:val="22"/>
              </w:rPr>
              <w:t>±0.06</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5C6BDFA3">
            <w:pPr>
              <w:widowControl/>
              <w:jc w:val="center"/>
              <w:textAlignment w:val="center"/>
              <w:rPr>
                <w:color w:val="000000"/>
              </w:rPr>
            </w:pPr>
            <w:r>
              <w:rPr>
                <w:color w:val="000000"/>
                <w:kern w:val="0"/>
                <w:sz w:val="22"/>
                <w:szCs w:val="22"/>
              </w:rPr>
              <w:t>-0.645</w:t>
            </w:r>
            <w:r>
              <w:rPr>
                <w:rFonts w:hint="eastAsia"/>
                <w:color w:val="000000"/>
                <w:kern w:val="0"/>
                <w:sz w:val="22"/>
                <w:szCs w:val="22"/>
              </w:rPr>
              <w:t>±0.01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7B85299F">
            <w:pPr>
              <w:widowControl/>
              <w:jc w:val="center"/>
              <w:textAlignment w:val="center"/>
              <w:rPr>
                <w:color w:val="000000"/>
              </w:rPr>
            </w:pPr>
            <w:r>
              <w:rPr>
                <w:color w:val="000000"/>
                <w:kern w:val="0"/>
                <w:sz w:val="22"/>
                <w:szCs w:val="22"/>
              </w:rPr>
              <w:t>-0.675</w:t>
            </w:r>
            <w:r>
              <w:rPr>
                <w:rFonts w:hint="eastAsia"/>
                <w:color w:val="000000"/>
                <w:kern w:val="0"/>
                <w:sz w:val="22"/>
                <w:szCs w:val="22"/>
              </w:rPr>
              <w:t>±0.11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2EE1AACF">
            <w:pPr>
              <w:widowControl/>
              <w:jc w:val="center"/>
              <w:textAlignment w:val="center"/>
              <w:rPr>
                <w:color w:val="000000"/>
              </w:rPr>
            </w:pPr>
            <w:r>
              <w:rPr>
                <w:color w:val="000000"/>
                <w:kern w:val="0"/>
                <w:sz w:val="22"/>
                <w:szCs w:val="22"/>
              </w:rPr>
              <w:t>-0.72</w:t>
            </w:r>
            <w:r>
              <w:rPr>
                <w:rFonts w:hint="eastAsia"/>
                <w:color w:val="000000"/>
                <w:kern w:val="0"/>
                <w:sz w:val="22"/>
                <w:szCs w:val="22"/>
              </w:rPr>
              <w:t>±0.01</w:t>
            </w:r>
            <w:r>
              <w:rPr>
                <w:rFonts w:hint="eastAsia"/>
                <w:color w:val="000000"/>
                <w:kern w:val="0"/>
                <w:sz w:val="22"/>
                <w:szCs w:val="22"/>
                <w:vertAlign w:val="superscript"/>
              </w:rPr>
              <w:t>a</w:t>
            </w:r>
          </w:p>
        </w:tc>
      </w:tr>
      <w:tr w14:paraId="492E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02F08FC8">
            <w:pPr>
              <w:rPr>
                <w:color w:val="000000"/>
              </w:rPr>
            </w:pPr>
          </w:p>
        </w:tc>
        <w:tc>
          <w:tcPr>
            <w:tcW w:w="412" w:type="pct"/>
            <w:vMerge w:val="continue"/>
            <w:tcBorders>
              <w:top w:val="nil"/>
              <w:left w:val="nil"/>
              <w:bottom w:val="nil"/>
              <w:right w:val="nil"/>
            </w:tcBorders>
            <w:shd w:val="clear" w:color="auto" w:fill="FFFFFF"/>
            <w:vAlign w:val="center"/>
          </w:tcPr>
          <w:p w14:paraId="2AFDA108">
            <w:pPr>
              <w:rPr>
                <w:color w:val="000000"/>
              </w:rPr>
            </w:pPr>
          </w:p>
        </w:tc>
        <w:tc>
          <w:tcPr>
            <w:tcW w:w="554" w:type="pct"/>
            <w:tcBorders>
              <w:top w:val="nil"/>
              <w:left w:val="nil"/>
              <w:bottom w:val="nil"/>
              <w:right w:val="nil"/>
            </w:tcBorders>
            <w:shd w:val="clear" w:color="auto" w:fill="FFFFFF"/>
            <w:vAlign w:val="center"/>
          </w:tcPr>
          <w:p w14:paraId="7A894EA4">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7FA5F3A7">
            <w:pPr>
              <w:widowControl/>
              <w:jc w:val="center"/>
              <w:textAlignment w:val="center"/>
              <w:rPr>
                <w:color w:val="000000"/>
              </w:rPr>
            </w:pPr>
            <w:r>
              <w:rPr>
                <w:color w:val="000000"/>
                <w:kern w:val="0"/>
                <w:sz w:val="22"/>
                <w:szCs w:val="22"/>
              </w:rPr>
              <w:t>-0.585</w:t>
            </w:r>
            <w:r>
              <w:rPr>
                <w:rFonts w:hint="eastAsia"/>
                <w:color w:val="000000"/>
                <w:kern w:val="0"/>
                <w:sz w:val="22"/>
                <w:szCs w:val="22"/>
              </w:rPr>
              <w:t>±0.15</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5E42FB09">
            <w:pPr>
              <w:widowControl/>
              <w:jc w:val="center"/>
              <w:textAlignment w:val="center"/>
              <w:rPr>
                <w:color w:val="000000"/>
              </w:rPr>
            </w:pPr>
            <w:r>
              <w:rPr>
                <w:color w:val="000000"/>
                <w:kern w:val="0"/>
                <w:sz w:val="22"/>
                <w:szCs w:val="22"/>
              </w:rPr>
              <w:t>-0.73</w:t>
            </w:r>
            <w:r>
              <w:rPr>
                <w:rFonts w:hint="eastAsia"/>
                <w:color w:val="000000"/>
                <w:kern w:val="0"/>
                <w:sz w:val="22"/>
                <w:szCs w:val="22"/>
              </w:rPr>
              <w:t>±0.07</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9501A79">
            <w:pPr>
              <w:widowControl/>
              <w:jc w:val="center"/>
              <w:textAlignment w:val="center"/>
              <w:rPr>
                <w:color w:val="000000"/>
              </w:rPr>
            </w:pPr>
            <w:r>
              <w:rPr>
                <w:color w:val="000000"/>
                <w:kern w:val="0"/>
                <w:sz w:val="22"/>
                <w:szCs w:val="22"/>
              </w:rPr>
              <w:t>-0.67</w:t>
            </w:r>
            <w:r>
              <w:rPr>
                <w:rFonts w:hint="eastAsia"/>
                <w:color w:val="000000"/>
                <w:kern w:val="0"/>
                <w:sz w:val="22"/>
                <w:szCs w:val="22"/>
              </w:rPr>
              <w:t>±0.14</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03AE3B5E">
            <w:pPr>
              <w:widowControl/>
              <w:jc w:val="center"/>
              <w:textAlignment w:val="center"/>
              <w:rPr>
                <w:color w:val="000000"/>
              </w:rPr>
            </w:pPr>
            <w:r>
              <w:rPr>
                <w:color w:val="000000"/>
                <w:kern w:val="0"/>
                <w:sz w:val="22"/>
                <w:szCs w:val="22"/>
              </w:rPr>
              <w:t>-0.43</w:t>
            </w:r>
            <w:r>
              <w:rPr>
                <w:rFonts w:hint="eastAsia"/>
                <w:color w:val="000000"/>
                <w:kern w:val="0"/>
                <w:sz w:val="22"/>
                <w:szCs w:val="22"/>
              </w:rPr>
              <w:t>±0.28</w:t>
            </w:r>
            <w:r>
              <w:rPr>
                <w:rFonts w:hint="eastAsia"/>
                <w:color w:val="000000"/>
                <w:kern w:val="0"/>
                <w:sz w:val="22"/>
                <w:szCs w:val="22"/>
                <w:vertAlign w:val="superscript"/>
              </w:rPr>
              <w:t>a</w:t>
            </w:r>
          </w:p>
        </w:tc>
      </w:tr>
      <w:tr w14:paraId="37FD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65669611">
            <w:pPr>
              <w:rPr>
                <w:color w:val="000000"/>
              </w:rPr>
            </w:pPr>
          </w:p>
        </w:tc>
        <w:tc>
          <w:tcPr>
            <w:tcW w:w="412" w:type="pct"/>
            <w:vMerge w:val="continue"/>
            <w:tcBorders>
              <w:top w:val="nil"/>
              <w:left w:val="nil"/>
              <w:bottom w:val="nil"/>
              <w:right w:val="nil"/>
            </w:tcBorders>
            <w:shd w:val="clear" w:color="auto" w:fill="FFFFFF"/>
            <w:vAlign w:val="center"/>
          </w:tcPr>
          <w:p w14:paraId="19B0C7A9">
            <w:pPr>
              <w:rPr>
                <w:color w:val="000000"/>
              </w:rPr>
            </w:pPr>
          </w:p>
        </w:tc>
        <w:tc>
          <w:tcPr>
            <w:tcW w:w="554" w:type="pct"/>
            <w:tcBorders>
              <w:top w:val="nil"/>
              <w:left w:val="nil"/>
              <w:bottom w:val="nil"/>
              <w:right w:val="nil"/>
            </w:tcBorders>
            <w:shd w:val="clear" w:color="auto" w:fill="FFFFFF"/>
            <w:vAlign w:val="center"/>
          </w:tcPr>
          <w:p w14:paraId="08B4D86F">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03BD67FC">
            <w:pPr>
              <w:widowControl/>
              <w:jc w:val="center"/>
              <w:textAlignment w:val="center"/>
              <w:rPr>
                <w:color w:val="000000"/>
              </w:rPr>
            </w:pPr>
            <w:r>
              <w:rPr>
                <w:color w:val="000000"/>
                <w:kern w:val="0"/>
                <w:sz w:val="22"/>
                <w:szCs w:val="22"/>
              </w:rPr>
              <w:t>0.055</w:t>
            </w:r>
            <w:r>
              <w:rPr>
                <w:rFonts w:hint="eastAsia"/>
                <w:color w:val="000000"/>
                <w:kern w:val="0"/>
                <w:sz w:val="22"/>
                <w:szCs w:val="22"/>
              </w:rPr>
              <w:t>±0.11</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622FC558">
            <w:pPr>
              <w:widowControl/>
              <w:jc w:val="center"/>
              <w:textAlignment w:val="center"/>
              <w:rPr>
                <w:color w:val="000000"/>
              </w:rPr>
            </w:pPr>
            <w:r>
              <w:rPr>
                <w:color w:val="000000"/>
                <w:kern w:val="0"/>
                <w:sz w:val="22"/>
                <w:szCs w:val="22"/>
              </w:rPr>
              <w:t>-0.555</w:t>
            </w:r>
            <w:r>
              <w:rPr>
                <w:rFonts w:hint="eastAsia"/>
                <w:color w:val="000000"/>
                <w:kern w:val="0"/>
                <w:sz w:val="22"/>
                <w:szCs w:val="22"/>
              </w:rPr>
              <w:t>±0.05</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311162D1">
            <w:pPr>
              <w:widowControl/>
              <w:jc w:val="center"/>
              <w:textAlignment w:val="center"/>
              <w:rPr>
                <w:color w:val="000000"/>
              </w:rPr>
            </w:pPr>
            <w:r>
              <w:rPr>
                <w:color w:val="000000"/>
                <w:kern w:val="0"/>
                <w:sz w:val="22"/>
                <w:szCs w:val="22"/>
              </w:rPr>
              <w:t>-0.44</w:t>
            </w:r>
            <w:r>
              <w:rPr>
                <w:rFonts w:hint="eastAsia"/>
                <w:color w:val="000000"/>
                <w:kern w:val="0"/>
                <w:sz w:val="22"/>
                <w:szCs w:val="22"/>
              </w:rPr>
              <w:t>±0.04</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088C5C3F">
            <w:pPr>
              <w:widowControl/>
              <w:jc w:val="center"/>
              <w:textAlignment w:val="center"/>
              <w:rPr>
                <w:color w:val="000000"/>
              </w:rPr>
            </w:pPr>
            <w:r>
              <w:rPr>
                <w:color w:val="000000"/>
                <w:kern w:val="0"/>
                <w:sz w:val="22"/>
                <w:szCs w:val="22"/>
              </w:rPr>
              <w:t>-0.48</w:t>
            </w:r>
            <w:r>
              <w:rPr>
                <w:rFonts w:hint="eastAsia"/>
                <w:color w:val="000000"/>
                <w:kern w:val="0"/>
                <w:sz w:val="22"/>
                <w:szCs w:val="22"/>
              </w:rPr>
              <w:t>±0.25</w:t>
            </w:r>
            <w:r>
              <w:rPr>
                <w:rFonts w:hint="eastAsia"/>
                <w:color w:val="000000"/>
                <w:kern w:val="0"/>
                <w:sz w:val="22"/>
                <w:szCs w:val="22"/>
                <w:vertAlign w:val="superscript"/>
              </w:rPr>
              <w:t>b</w:t>
            </w:r>
          </w:p>
        </w:tc>
      </w:tr>
      <w:tr w14:paraId="7F29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663BBC7B">
            <w:pPr>
              <w:rPr>
                <w:color w:val="000000"/>
              </w:rPr>
            </w:pPr>
          </w:p>
        </w:tc>
        <w:tc>
          <w:tcPr>
            <w:tcW w:w="412" w:type="pct"/>
            <w:vMerge w:val="restart"/>
            <w:tcBorders>
              <w:top w:val="nil"/>
              <w:left w:val="nil"/>
              <w:bottom w:val="nil"/>
              <w:right w:val="nil"/>
            </w:tcBorders>
            <w:shd w:val="clear" w:color="auto" w:fill="FFFFFF"/>
            <w:vAlign w:val="center"/>
          </w:tcPr>
          <w:p w14:paraId="38F6B732">
            <w:pPr>
              <w:jc w:val="center"/>
              <w:rPr>
                <w:color w:val="000000"/>
              </w:rPr>
            </w:pPr>
            <w:r>
              <w:rPr>
                <w:rFonts w:hint="eastAsia"/>
                <w:color w:val="000000"/>
              </w:rPr>
              <w:t>20d</w:t>
            </w:r>
          </w:p>
        </w:tc>
        <w:tc>
          <w:tcPr>
            <w:tcW w:w="554" w:type="pct"/>
            <w:tcBorders>
              <w:top w:val="nil"/>
              <w:left w:val="nil"/>
              <w:bottom w:val="nil"/>
              <w:right w:val="nil"/>
            </w:tcBorders>
            <w:shd w:val="clear" w:color="auto" w:fill="FFFFFF"/>
            <w:vAlign w:val="center"/>
          </w:tcPr>
          <w:p w14:paraId="7E98524A">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7770548A">
            <w:pPr>
              <w:widowControl/>
              <w:jc w:val="center"/>
              <w:textAlignment w:val="center"/>
              <w:rPr>
                <w:color w:val="000000"/>
              </w:rPr>
            </w:pPr>
            <w:r>
              <w:rPr>
                <w:color w:val="000000"/>
                <w:kern w:val="0"/>
                <w:sz w:val="22"/>
                <w:szCs w:val="22"/>
              </w:rPr>
              <w:t>-0.895</w:t>
            </w:r>
            <w:r>
              <w:rPr>
                <w:rFonts w:hint="eastAsia"/>
                <w:color w:val="000000"/>
                <w:kern w:val="0"/>
                <w:sz w:val="22"/>
                <w:szCs w:val="22"/>
              </w:rPr>
              <w:t>±0.05</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42577E3F">
            <w:pPr>
              <w:widowControl/>
              <w:jc w:val="center"/>
              <w:textAlignment w:val="center"/>
              <w:rPr>
                <w:color w:val="000000"/>
              </w:rPr>
            </w:pPr>
            <w:r>
              <w:rPr>
                <w:color w:val="000000"/>
                <w:kern w:val="0"/>
                <w:sz w:val="22"/>
                <w:szCs w:val="22"/>
              </w:rPr>
              <w:t>-0.495</w:t>
            </w:r>
            <w:r>
              <w:rPr>
                <w:rFonts w:hint="eastAsia"/>
                <w:color w:val="000000"/>
                <w:kern w:val="0"/>
                <w:sz w:val="22"/>
                <w:szCs w:val="22"/>
              </w:rPr>
              <w:t>±0.22</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2BA11790">
            <w:pPr>
              <w:widowControl/>
              <w:jc w:val="center"/>
              <w:textAlignment w:val="center"/>
              <w:rPr>
                <w:color w:val="000000"/>
              </w:rPr>
            </w:pPr>
            <w:r>
              <w:rPr>
                <w:color w:val="000000"/>
                <w:kern w:val="0"/>
                <w:sz w:val="22"/>
                <w:szCs w:val="22"/>
              </w:rPr>
              <w:t>-0.52</w:t>
            </w:r>
            <w:r>
              <w:rPr>
                <w:rFonts w:hint="eastAsia"/>
                <w:color w:val="000000"/>
                <w:kern w:val="0"/>
                <w:sz w:val="22"/>
                <w:szCs w:val="22"/>
              </w:rPr>
              <w:t>±0.21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F85DE43">
            <w:pPr>
              <w:widowControl/>
              <w:jc w:val="center"/>
              <w:textAlignment w:val="center"/>
              <w:rPr>
                <w:color w:val="000000"/>
              </w:rPr>
            </w:pPr>
            <w:r>
              <w:rPr>
                <w:color w:val="000000"/>
                <w:kern w:val="0"/>
                <w:sz w:val="22"/>
                <w:szCs w:val="22"/>
              </w:rPr>
              <w:t>-0.69</w:t>
            </w:r>
            <w:r>
              <w:rPr>
                <w:rFonts w:hint="eastAsia"/>
                <w:color w:val="000000"/>
                <w:kern w:val="0"/>
                <w:sz w:val="22"/>
                <w:szCs w:val="22"/>
              </w:rPr>
              <w:t>±0.07</w:t>
            </w:r>
            <w:r>
              <w:rPr>
                <w:rFonts w:hint="eastAsia"/>
                <w:color w:val="000000"/>
                <w:kern w:val="0"/>
                <w:sz w:val="22"/>
                <w:szCs w:val="22"/>
                <w:vertAlign w:val="superscript"/>
              </w:rPr>
              <w:t>a</w:t>
            </w:r>
          </w:p>
        </w:tc>
      </w:tr>
      <w:tr w14:paraId="3EF9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29DD7937">
            <w:pPr>
              <w:rPr>
                <w:color w:val="000000"/>
              </w:rPr>
            </w:pPr>
          </w:p>
        </w:tc>
        <w:tc>
          <w:tcPr>
            <w:tcW w:w="412" w:type="pct"/>
            <w:vMerge w:val="continue"/>
            <w:tcBorders>
              <w:top w:val="nil"/>
              <w:left w:val="nil"/>
              <w:bottom w:val="nil"/>
              <w:right w:val="nil"/>
            </w:tcBorders>
            <w:shd w:val="clear" w:color="auto" w:fill="FFFFFF"/>
            <w:vAlign w:val="center"/>
          </w:tcPr>
          <w:p w14:paraId="1B135914">
            <w:pPr>
              <w:rPr>
                <w:color w:val="000000"/>
              </w:rPr>
            </w:pPr>
          </w:p>
        </w:tc>
        <w:tc>
          <w:tcPr>
            <w:tcW w:w="554" w:type="pct"/>
            <w:tcBorders>
              <w:top w:val="nil"/>
              <w:left w:val="nil"/>
              <w:bottom w:val="nil"/>
              <w:right w:val="nil"/>
            </w:tcBorders>
            <w:shd w:val="clear" w:color="auto" w:fill="FFFFFF"/>
            <w:vAlign w:val="center"/>
          </w:tcPr>
          <w:p w14:paraId="28E583AB">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5CC8C339">
            <w:pPr>
              <w:widowControl/>
              <w:jc w:val="center"/>
              <w:textAlignment w:val="center"/>
              <w:rPr>
                <w:color w:val="000000"/>
              </w:rPr>
            </w:pPr>
            <w:r>
              <w:rPr>
                <w:color w:val="000000"/>
                <w:kern w:val="0"/>
                <w:sz w:val="22"/>
                <w:szCs w:val="22"/>
              </w:rPr>
              <w:t>-0.9</w:t>
            </w:r>
            <w:r>
              <w:rPr>
                <w:rFonts w:hint="eastAsia"/>
                <w:color w:val="000000"/>
                <w:kern w:val="0"/>
                <w:sz w:val="22"/>
                <w:szCs w:val="22"/>
              </w:rPr>
              <w:t>±0.06</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7B12AA78">
            <w:pPr>
              <w:widowControl/>
              <w:jc w:val="center"/>
              <w:textAlignment w:val="center"/>
              <w:rPr>
                <w:color w:val="000000"/>
              </w:rPr>
            </w:pPr>
            <w:r>
              <w:rPr>
                <w:color w:val="000000"/>
                <w:kern w:val="0"/>
                <w:sz w:val="22"/>
                <w:szCs w:val="22"/>
              </w:rPr>
              <w:t>-0.72</w:t>
            </w:r>
            <w:r>
              <w:rPr>
                <w:rFonts w:hint="eastAsia"/>
                <w:color w:val="000000"/>
                <w:kern w:val="0"/>
                <w:sz w:val="22"/>
                <w:szCs w:val="22"/>
              </w:rPr>
              <w:t>±0.10</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103CCD10">
            <w:pPr>
              <w:widowControl/>
              <w:jc w:val="center"/>
              <w:textAlignment w:val="center"/>
              <w:rPr>
                <w:color w:val="000000"/>
              </w:rPr>
            </w:pPr>
            <w:r>
              <w:rPr>
                <w:color w:val="000000"/>
                <w:kern w:val="0"/>
                <w:sz w:val="22"/>
                <w:szCs w:val="22"/>
              </w:rPr>
              <w:t>-0.74</w:t>
            </w:r>
            <w:r>
              <w:rPr>
                <w:rFonts w:hint="eastAsia"/>
                <w:color w:val="000000"/>
                <w:kern w:val="0"/>
                <w:sz w:val="22"/>
                <w:szCs w:val="22"/>
              </w:rPr>
              <w:t>±0.14</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4CB8C70">
            <w:pPr>
              <w:widowControl/>
              <w:jc w:val="center"/>
              <w:textAlignment w:val="center"/>
              <w:rPr>
                <w:bCs/>
                <w:color w:val="000000"/>
              </w:rPr>
            </w:pPr>
            <w:r>
              <w:rPr>
                <w:color w:val="000000"/>
                <w:kern w:val="0"/>
                <w:sz w:val="22"/>
                <w:szCs w:val="22"/>
              </w:rPr>
              <w:t>-0.615</w:t>
            </w:r>
            <w:r>
              <w:rPr>
                <w:rFonts w:hint="eastAsia"/>
                <w:color w:val="000000"/>
                <w:kern w:val="0"/>
                <w:sz w:val="22"/>
                <w:szCs w:val="22"/>
              </w:rPr>
              <w:t>±0.06</w:t>
            </w:r>
            <w:r>
              <w:rPr>
                <w:rFonts w:hint="eastAsia"/>
                <w:color w:val="000000"/>
                <w:kern w:val="0"/>
                <w:sz w:val="22"/>
                <w:szCs w:val="22"/>
                <w:vertAlign w:val="superscript"/>
              </w:rPr>
              <w:t>a</w:t>
            </w:r>
          </w:p>
        </w:tc>
      </w:tr>
      <w:tr w14:paraId="4D35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7D7994AD">
            <w:pPr>
              <w:rPr>
                <w:color w:val="000000"/>
              </w:rPr>
            </w:pPr>
          </w:p>
        </w:tc>
        <w:tc>
          <w:tcPr>
            <w:tcW w:w="412" w:type="pct"/>
            <w:vMerge w:val="continue"/>
            <w:tcBorders>
              <w:top w:val="nil"/>
              <w:left w:val="nil"/>
              <w:bottom w:val="nil"/>
              <w:right w:val="nil"/>
            </w:tcBorders>
            <w:shd w:val="clear" w:color="auto" w:fill="FFFFFF"/>
            <w:vAlign w:val="center"/>
          </w:tcPr>
          <w:p w14:paraId="00BED6CF">
            <w:pPr>
              <w:rPr>
                <w:color w:val="000000"/>
              </w:rPr>
            </w:pPr>
          </w:p>
        </w:tc>
        <w:tc>
          <w:tcPr>
            <w:tcW w:w="554" w:type="pct"/>
            <w:tcBorders>
              <w:top w:val="nil"/>
              <w:left w:val="nil"/>
              <w:bottom w:val="nil"/>
              <w:right w:val="nil"/>
            </w:tcBorders>
            <w:shd w:val="clear" w:color="auto" w:fill="FFFFFF"/>
            <w:vAlign w:val="center"/>
          </w:tcPr>
          <w:p w14:paraId="30A47A29">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5C3B26BC">
            <w:pPr>
              <w:widowControl/>
              <w:jc w:val="center"/>
              <w:textAlignment w:val="center"/>
              <w:rPr>
                <w:color w:val="000000"/>
              </w:rPr>
            </w:pPr>
            <w:r>
              <w:rPr>
                <w:color w:val="000000"/>
                <w:kern w:val="0"/>
                <w:sz w:val="22"/>
                <w:szCs w:val="22"/>
              </w:rPr>
              <w:t>-0.355</w:t>
            </w:r>
            <w:r>
              <w:rPr>
                <w:rFonts w:hint="eastAsia"/>
                <w:color w:val="000000"/>
                <w:kern w:val="0"/>
                <w:sz w:val="22"/>
                <w:szCs w:val="22"/>
              </w:rPr>
              <w:t>±0.01</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76AEE391">
            <w:pPr>
              <w:widowControl/>
              <w:jc w:val="center"/>
              <w:textAlignment w:val="center"/>
              <w:rPr>
                <w:color w:val="000000"/>
              </w:rPr>
            </w:pPr>
            <w:r>
              <w:rPr>
                <w:color w:val="000000"/>
                <w:kern w:val="0"/>
                <w:sz w:val="22"/>
                <w:szCs w:val="22"/>
              </w:rPr>
              <w:t>-0.67</w:t>
            </w:r>
            <w:r>
              <w:rPr>
                <w:rFonts w:hint="eastAsia"/>
                <w:color w:val="000000"/>
                <w:kern w:val="0"/>
                <w:sz w:val="22"/>
                <w:szCs w:val="22"/>
              </w:rPr>
              <w:t>±0.17</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77C5B18C">
            <w:pPr>
              <w:widowControl/>
              <w:jc w:val="center"/>
              <w:textAlignment w:val="center"/>
              <w:rPr>
                <w:color w:val="000000"/>
              </w:rPr>
            </w:pPr>
            <w:r>
              <w:rPr>
                <w:color w:val="000000"/>
                <w:kern w:val="0"/>
                <w:sz w:val="22"/>
                <w:szCs w:val="22"/>
              </w:rPr>
              <w:t>-0.61</w:t>
            </w:r>
            <w:r>
              <w:rPr>
                <w:rFonts w:hint="eastAsia"/>
                <w:color w:val="000000"/>
                <w:kern w:val="0"/>
                <w:sz w:val="22"/>
                <w:szCs w:val="22"/>
              </w:rPr>
              <w:t>±0.13</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E47E675">
            <w:pPr>
              <w:widowControl/>
              <w:jc w:val="center"/>
              <w:textAlignment w:val="center"/>
              <w:rPr>
                <w:bCs/>
                <w:color w:val="000000"/>
              </w:rPr>
            </w:pPr>
            <w:r>
              <w:rPr>
                <w:color w:val="000000"/>
                <w:kern w:val="0"/>
                <w:sz w:val="22"/>
                <w:szCs w:val="22"/>
              </w:rPr>
              <w:t>-0.34</w:t>
            </w:r>
            <w:r>
              <w:rPr>
                <w:rFonts w:hint="eastAsia"/>
                <w:color w:val="000000"/>
                <w:kern w:val="0"/>
                <w:sz w:val="22"/>
                <w:szCs w:val="22"/>
              </w:rPr>
              <w:t>±0.28</w:t>
            </w:r>
            <w:r>
              <w:rPr>
                <w:rFonts w:hint="eastAsia"/>
                <w:color w:val="000000"/>
                <w:kern w:val="0"/>
                <w:sz w:val="22"/>
                <w:szCs w:val="22"/>
                <w:vertAlign w:val="superscript"/>
              </w:rPr>
              <w:t>a</w:t>
            </w:r>
          </w:p>
        </w:tc>
      </w:tr>
      <w:tr w14:paraId="7A55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1455DF90">
            <w:pPr>
              <w:rPr>
                <w:color w:val="000000"/>
              </w:rPr>
            </w:pPr>
          </w:p>
        </w:tc>
        <w:tc>
          <w:tcPr>
            <w:tcW w:w="412" w:type="pct"/>
            <w:vMerge w:val="continue"/>
            <w:tcBorders>
              <w:top w:val="nil"/>
              <w:left w:val="nil"/>
              <w:bottom w:val="nil"/>
              <w:right w:val="nil"/>
            </w:tcBorders>
            <w:shd w:val="clear" w:color="auto" w:fill="FFFFFF"/>
            <w:vAlign w:val="center"/>
          </w:tcPr>
          <w:p w14:paraId="54EA0493">
            <w:pPr>
              <w:rPr>
                <w:color w:val="000000"/>
              </w:rPr>
            </w:pPr>
          </w:p>
        </w:tc>
        <w:tc>
          <w:tcPr>
            <w:tcW w:w="554" w:type="pct"/>
            <w:tcBorders>
              <w:top w:val="nil"/>
              <w:left w:val="nil"/>
              <w:bottom w:val="nil"/>
              <w:right w:val="nil"/>
            </w:tcBorders>
            <w:shd w:val="clear" w:color="auto" w:fill="FFFFFF"/>
            <w:vAlign w:val="center"/>
          </w:tcPr>
          <w:p w14:paraId="31817117">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45A40268">
            <w:pPr>
              <w:widowControl/>
              <w:jc w:val="center"/>
              <w:textAlignment w:val="center"/>
              <w:rPr>
                <w:color w:val="000000"/>
              </w:rPr>
            </w:pPr>
            <w:r>
              <w:rPr>
                <w:color w:val="000000"/>
                <w:kern w:val="0"/>
                <w:sz w:val="22"/>
                <w:szCs w:val="22"/>
              </w:rPr>
              <w:t>0.175</w:t>
            </w:r>
            <w:r>
              <w:rPr>
                <w:rFonts w:hint="eastAsia"/>
                <w:color w:val="000000"/>
                <w:kern w:val="0"/>
                <w:sz w:val="22"/>
                <w:szCs w:val="22"/>
              </w:rPr>
              <w:t>±±0.29</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23209DE3">
            <w:pPr>
              <w:widowControl/>
              <w:jc w:val="center"/>
              <w:textAlignment w:val="center"/>
              <w:rPr>
                <w:color w:val="000000"/>
              </w:rPr>
            </w:pPr>
            <w:r>
              <w:rPr>
                <w:color w:val="000000"/>
                <w:kern w:val="0"/>
                <w:sz w:val="22"/>
                <w:szCs w:val="22"/>
              </w:rPr>
              <w:t>-0.49</w:t>
            </w:r>
            <w:r>
              <w:rPr>
                <w:rFonts w:hint="eastAsia"/>
                <w:color w:val="000000"/>
                <w:kern w:val="0"/>
                <w:sz w:val="22"/>
                <w:szCs w:val="22"/>
              </w:rPr>
              <w:t>±0.17</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1E17E69D">
            <w:pPr>
              <w:widowControl/>
              <w:jc w:val="center"/>
              <w:textAlignment w:val="center"/>
              <w:rPr>
                <w:color w:val="000000"/>
              </w:rPr>
            </w:pPr>
            <w:r>
              <w:rPr>
                <w:color w:val="000000"/>
                <w:kern w:val="0"/>
                <w:sz w:val="22"/>
                <w:szCs w:val="22"/>
              </w:rPr>
              <w:t>-0.17</w:t>
            </w:r>
            <w:r>
              <w:rPr>
                <w:rFonts w:hint="eastAsia"/>
                <w:color w:val="000000"/>
                <w:kern w:val="0"/>
                <w:sz w:val="22"/>
                <w:szCs w:val="22"/>
              </w:rPr>
              <w:t>±0.10</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6E49942D">
            <w:pPr>
              <w:widowControl/>
              <w:jc w:val="center"/>
              <w:textAlignment w:val="center"/>
              <w:rPr>
                <w:bCs/>
                <w:color w:val="000000"/>
              </w:rPr>
            </w:pPr>
            <w:r>
              <w:rPr>
                <w:color w:val="000000"/>
                <w:kern w:val="0"/>
                <w:sz w:val="22"/>
                <w:szCs w:val="22"/>
              </w:rPr>
              <w:t>-0.405</w:t>
            </w:r>
            <w:r>
              <w:rPr>
                <w:rFonts w:hint="eastAsia"/>
                <w:color w:val="000000"/>
                <w:kern w:val="0"/>
                <w:sz w:val="22"/>
                <w:szCs w:val="22"/>
              </w:rPr>
              <w:t>±0.35</w:t>
            </w:r>
            <w:r>
              <w:rPr>
                <w:rFonts w:hint="eastAsia"/>
                <w:color w:val="000000"/>
                <w:kern w:val="0"/>
                <w:sz w:val="22"/>
                <w:szCs w:val="22"/>
                <w:vertAlign w:val="superscript"/>
              </w:rPr>
              <w:t>b</w:t>
            </w:r>
          </w:p>
        </w:tc>
      </w:tr>
      <w:tr w14:paraId="1C15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69583121">
            <w:pPr>
              <w:rPr>
                <w:color w:val="000000"/>
              </w:rPr>
            </w:pPr>
          </w:p>
        </w:tc>
        <w:tc>
          <w:tcPr>
            <w:tcW w:w="412" w:type="pct"/>
            <w:vMerge w:val="restart"/>
            <w:tcBorders>
              <w:top w:val="nil"/>
              <w:left w:val="nil"/>
              <w:bottom w:val="nil"/>
              <w:right w:val="nil"/>
            </w:tcBorders>
            <w:shd w:val="clear" w:color="auto" w:fill="FFFFFF"/>
            <w:vAlign w:val="center"/>
          </w:tcPr>
          <w:p w14:paraId="364921D1">
            <w:pPr>
              <w:jc w:val="center"/>
              <w:rPr>
                <w:color w:val="000000"/>
              </w:rPr>
            </w:pPr>
            <w:r>
              <w:rPr>
                <w:rFonts w:hint="eastAsia"/>
                <w:color w:val="000000"/>
              </w:rPr>
              <w:t>30d</w:t>
            </w:r>
          </w:p>
        </w:tc>
        <w:tc>
          <w:tcPr>
            <w:tcW w:w="554" w:type="pct"/>
            <w:tcBorders>
              <w:top w:val="nil"/>
              <w:left w:val="nil"/>
              <w:bottom w:val="nil"/>
              <w:right w:val="nil"/>
            </w:tcBorders>
            <w:shd w:val="clear" w:color="auto" w:fill="FFFFFF"/>
            <w:vAlign w:val="center"/>
          </w:tcPr>
          <w:p w14:paraId="7C949704">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1A206F6F">
            <w:pPr>
              <w:widowControl/>
              <w:jc w:val="center"/>
              <w:textAlignment w:val="center"/>
              <w:rPr>
                <w:color w:val="000000"/>
              </w:rPr>
            </w:pPr>
            <w:r>
              <w:rPr>
                <w:color w:val="000000"/>
                <w:kern w:val="0"/>
                <w:sz w:val="22"/>
                <w:szCs w:val="22"/>
              </w:rPr>
              <w:t>-0.915</w:t>
            </w:r>
            <w:r>
              <w:rPr>
                <w:rFonts w:hint="eastAsia"/>
                <w:color w:val="000000"/>
                <w:kern w:val="0"/>
                <w:sz w:val="22"/>
                <w:szCs w:val="22"/>
              </w:rPr>
              <w:t>±0.09</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2B398FB7">
            <w:pPr>
              <w:widowControl/>
              <w:jc w:val="center"/>
              <w:textAlignment w:val="center"/>
              <w:rPr>
                <w:color w:val="000000"/>
              </w:rPr>
            </w:pPr>
            <w:r>
              <w:rPr>
                <w:color w:val="000000"/>
                <w:kern w:val="0"/>
                <w:sz w:val="22"/>
                <w:szCs w:val="22"/>
              </w:rPr>
              <w:t>-0.57</w:t>
            </w:r>
            <w:r>
              <w:rPr>
                <w:rFonts w:hint="eastAsia"/>
                <w:color w:val="000000"/>
                <w:kern w:val="0"/>
                <w:sz w:val="22"/>
                <w:szCs w:val="22"/>
              </w:rPr>
              <w:t>±0.0</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1E476046">
            <w:pPr>
              <w:widowControl/>
              <w:jc w:val="center"/>
              <w:textAlignment w:val="center"/>
              <w:rPr>
                <w:color w:val="000000"/>
              </w:rPr>
            </w:pPr>
            <w:r>
              <w:rPr>
                <w:color w:val="000000"/>
                <w:kern w:val="0"/>
                <w:sz w:val="22"/>
                <w:szCs w:val="22"/>
              </w:rPr>
              <w:t>-0.55</w:t>
            </w:r>
            <w:r>
              <w:rPr>
                <w:rFonts w:hint="eastAsia"/>
                <w:color w:val="000000"/>
                <w:kern w:val="0"/>
                <w:sz w:val="22"/>
                <w:szCs w:val="22"/>
              </w:rPr>
              <w:t>±0.14</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C7F4AE7">
            <w:pPr>
              <w:widowControl/>
              <w:jc w:val="center"/>
              <w:textAlignment w:val="center"/>
              <w:rPr>
                <w:color w:val="000000"/>
              </w:rPr>
            </w:pPr>
            <w:r>
              <w:rPr>
                <w:color w:val="000000"/>
                <w:kern w:val="0"/>
                <w:sz w:val="22"/>
                <w:szCs w:val="22"/>
              </w:rPr>
              <w:t>-0.69</w:t>
            </w:r>
            <w:r>
              <w:rPr>
                <w:rFonts w:hint="eastAsia"/>
                <w:color w:val="000000"/>
                <w:kern w:val="0"/>
                <w:sz w:val="22"/>
                <w:szCs w:val="22"/>
              </w:rPr>
              <w:t>±0.04</w:t>
            </w:r>
            <w:r>
              <w:rPr>
                <w:rFonts w:hint="eastAsia"/>
                <w:color w:val="000000"/>
                <w:kern w:val="0"/>
                <w:sz w:val="22"/>
                <w:szCs w:val="22"/>
                <w:vertAlign w:val="superscript"/>
              </w:rPr>
              <w:t>a</w:t>
            </w:r>
          </w:p>
        </w:tc>
      </w:tr>
      <w:tr w14:paraId="61FCC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615EE361">
            <w:pPr>
              <w:rPr>
                <w:color w:val="000000"/>
              </w:rPr>
            </w:pPr>
          </w:p>
        </w:tc>
        <w:tc>
          <w:tcPr>
            <w:tcW w:w="412" w:type="pct"/>
            <w:vMerge w:val="continue"/>
            <w:tcBorders>
              <w:top w:val="nil"/>
              <w:left w:val="nil"/>
              <w:bottom w:val="nil"/>
              <w:right w:val="nil"/>
            </w:tcBorders>
            <w:shd w:val="clear" w:color="auto" w:fill="FFFFFF"/>
            <w:vAlign w:val="center"/>
          </w:tcPr>
          <w:p w14:paraId="0913CD34">
            <w:pPr>
              <w:rPr>
                <w:color w:val="000000"/>
              </w:rPr>
            </w:pPr>
          </w:p>
        </w:tc>
        <w:tc>
          <w:tcPr>
            <w:tcW w:w="554" w:type="pct"/>
            <w:tcBorders>
              <w:top w:val="nil"/>
              <w:left w:val="nil"/>
              <w:bottom w:val="nil"/>
              <w:right w:val="nil"/>
            </w:tcBorders>
            <w:shd w:val="clear" w:color="auto" w:fill="FFFFFF"/>
            <w:vAlign w:val="center"/>
          </w:tcPr>
          <w:p w14:paraId="008076F1">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2154D109">
            <w:pPr>
              <w:widowControl/>
              <w:jc w:val="center"/>
              <w:textAlignment w:val="center"/>
              <w:rPr>
                <w:color w:val="000000"/>
              </w:rPr>
            </w:pPr>
            <w:r>
              <w:rPr>
                <w:color w:val="000000"/>
                <w:kern w:val="0"/>
                <w:sz w:val="22"/>
                <w:szCs w:val="22"/>
              </w:rPr>
              <w:t>-0.78</w:t>
            </w:r>
            <w:r>
              <w:rPr>
                <w:rFonts w:hint="eastAsia"/>
                <w:color w:val="000000"/>
                <w:kern w:val="0"/>
                <w:sz w:val="22"/>
                <w:szCs w:val="22"/>
              </w:rPr>
              <w:t>±0.06</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73ECAED6">
            <w:pPr>
              <w:widowControl/>
              <w:jc w:val="center"/>
              <w:textAlignment w:val="center"/>
              <w:rPr>
                <w:color w:val="000000"/>
              </w:rPr>
            </w:pPr>
            <w:r>
              <w:rPr>
                <w:color w:val="000000"/>
                <w:kern w:val="0"/>
                <w:sz w:val="22"/>
                <w:szCs w:val="22"/>
              </w:rPr>
              <w:t>-0.71</w:t>
            </w:r>
            <w:r>
              <w:rPr>
                <w:rFonts w:hint="eastAsia"/>
                <w:color w:val="000000"/>
                <w:kern w:val="0"/>
                <w:sz w:val="22"/>
                <w:szCs w:val="22"/>
              </w:rPr>
              <w:t>±0.04</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6601179">
            <w:pPr>
              <w:widowControl/>
              <w:jc w:val="center"/>
              <w:textAlignment w:val="center"/>
              <w:rPr>
                <w:color w:val="000000"/>
              </w:rPr>
            </w:pPr>
            <w:r>
              <w:rPr>
                <w:color w:val="000000"/>
                <w:kern w:val="0"/>
                <w:sz w:val="22"/>
                <w:szCs w:val="22"/>
              </w:rPr>
              <w:t>-0.735</w:t>
            </w:r>
            <w:r>
              <w:rPr>
                <w:rFonts w:hint="eastAsia"/>
                <w:color w:val="000000"/>
                <w:kern w:val="0"/>
                <w:sz w:val="22"/>
                <w:szCs w:val="22"/>
              </w:rPr>
              <w:t>±0.02</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172E1B28">
            <w:pPr>
              <w:widowControl/>
              <w:jc w:val="center"/>
              <w:textAlignment w:val="center"/>
              <w:rPr>
                <w:color w:val="000000"/>
              </w:rPr>
            </w:pPr>
            <w:r>
              <w:rPr>
                <w:color w:val="000000"/>
                <w:kern w:val="0"/>
                <w:sz w:val="22"/>
                <w:szCs w:val="22"/>
              </w:rPr>
              <w:t>-0.435</w:t>
            </w:r>
            <w:r>
              <w:rPr>
                <w:rFonts w:hint="eastAsia"/>
                <w:color w:val="000000"/>
                <w:kern w:val="0"/>
                <w:sz w:val="22"/>
                <w:szCs w:val="22"/>
              </w:rPr>
              <w:t>±0.02</w:t>
            </w:r>
            <w:r>
              <w:rPr>
                <w:rFonts w:hint="eastAsia"/>
                <w:color w:val="000000"/>
                <w:kern w:val="0"/>
                <w:sz w:val="22"/>
                <w:szCs w:val="22"/>
                <w:vertAlign w:val="superscript"/>
              </w:rPr>
              <w:t>a</w:t>
            </w:r>
          </w:p>
        </w:tc>
      </w:tr>
      <w:tr w14:paraId="31D7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7C85D423">
            <w:pPr>
              <w:rPr>
                <w:color w:val="000000"/>
              </w:rPr>
            </w:pPr>
          </w:p>
        </w:tc>
        <w:tc>
          <w:tcPr>
            <w:tcW w:w="412" w:type="pct"/>
            <w:vMerge w:val="continue"/>
            <w:tcBorders>
              <w:top w:val="nil"/>
              <w:left w:val="nil"/>
              <w:bottom w:val="nil"/>
              <w:right w:val="nil"/>
            </w:tcBorders>
            <w:shd w:val="clear" w:color="auto" w:fill="FFFFFF"/>
            <w:vAlign w:val="center"/>
          </w:tcPr>
          <w:p w14:paraId="35CE2104">
            <w:pPr>
              <w:rPr>
                <w:color w:val="000000"/>
              </w:rPr>
            </w:pPr>
          </w:p>
        </w:tc>
        <w:tc>
          <w:tcPr>
            <w:tcW w:w="554" w:type="pct"/>
            <w:tcBorders>
              <w:top w:val="nil"/>
              <w:left w:val="nil"/>
              <w:bottom w:val="nil"/>
              <w:right w:val="nil"/>
            </w:tcBorders>
            <w:shd w:val="clear" w:color="auto" w:fill="FFFFFF"/>
            <w:vAlign w:val="center"/>
          </w:tcPr>
          <w:p w14:paraId="32D98213">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7B6FA439">
            <w:pPr>
              <w:widowControl/>
              <w:jc w:val="center"/>
              <w:textAlignment w:val="center"/>
              <w:rPr>
                <w:color w:val="000000"/>
              </w:rPr>
            </w:pPr>
            <w:r>
              <w:rPr>
                <w:color w:val="000000"/>
                <w:kern w:val="0"/>
                <w:sz w:val="22"/>
                <w:szCs w:val="22"/>
              </w:rPr>
              <w:t>-0.225</w:t>
            </w:r>
            <w:r>
              <w:rPr>
                <w:rFonts w:hint="eastAsia"/>
                <w:color w:val="000000"/>
                <w:kern w:val="0"/>
                <w:sz w:val="22"/>
                <w:szCs w:val="22"/>
              </w:rPr>
              <w:t>±0.15</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1EB5E2CD">
            <w:pPr>
              <w:widowControl/>
              <w:jc w:val="center"/>
              <w:textAlignment w:val="center"/>
              <w:rPr>
                <w:color w:val="000000"/>
              </w:rPr>
            </w:pPr>
            <w:r>
              <w:rPr>
                <w:color w:val="000000"/>
                <w:kern w:val="0"/>
                <w:sz w:val="22"/>
                <w:szCs w:val="22"/>
              </w:rPr>
              <w:t>-0.585</w:t>
            </w:r>
            <w:r>
              <w:rPr>
                <w:rFonts w:hint="eastAsia"/>
                <w:color w:val="000000"/>
                <w:kern w:val="0"/>
                <w:sz w:val="22"/>
                <w:szCs w:val="22"/>
              </w:rPr>
              <w:t>±0.22</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1F26171E">
            <w:pPr>
              <w:widowControl/>
              <w:jc w:val="center"/>
              <w:textAlignment w:val="center"/>
              <w:rPr>
                <w:color w:val="000000"/>
              </w:rPr>
            </w:pPr>
            <w:r>
              <w:rPr>
                <w:color w:val="000000"/>
                <w:kern w:val="0"/>
                <w:sz w:val="22"/>
                <w:szCs w:val="22"/>
              </w:rPr>
              <w:t>-0.495</w:t>
            </w:r>
            <w:r>
              <w:rPr>
                <w:rFonts w:hint="eastAsia"/>
                <w:color w:val="000000"/>
                <w:kern w:val="0"/>
                <w:sz w:val="22"/>
                <w:szCs w:val="22"/>
              </w:rPr>
              <w:t>±0.04</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38DD6191">
            <w:pPr>
              <w:widowControl/>
              <w:jc w:val="center"/>
              <w:textAlignment w:val="center"/>
              <w:rPr>
                <w:color w:val="000000"/>
              </w:rPr>
            </w:pPr>
            <w:r>
              <w:rPr>
                <w:color w:val="000000"/>
                <w:kern w:val="0"/>
                <w:sz w:val="22"/>
                <w:szCs w:val="22"/>
              </w:rPr>
              <w:t>-0.04</w:t>
            </w:r>
            <w:r>
              <w:rPr>
                <w:rFonts w:hint="eastAsia"/>
                <w:color w:val="000000"/>
                <w:kern w:val="0"/>
                <w:sz w:val="22"/>
                <w:szCs w:val="22"/>
              </w:rPr>
              <w:t>±0.24</w:t>
            </w:r>
            <w:r>
              <w:rPr>
                <w:rFonts w:hint="eastAsia"/>
                <w:color w:val="000000"/>
                <w:kern w:val="0"/>
                <w:sz w:val="22"/>
                <w:szCs w:val="22"/>
                <w:vertAlign w:val="superscript"/>
              </w:rPr>
              <w:t>a</w:t>
            </w:r>
          </w:p>
        </w:tc>
      </w:tr>
      <w:tr w14:paraId="010D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5B9867EB">
            <w:pPr>
              <w:rPr>
                <w:color w:val="000000"/>
              </w:rPr>
            </w:pPr>
          </w:p>
        </w:tc>
        <w:tc>
          <w:tcPr>
            <w:tcW w:w="412" w:type="pct"/>
            <w:vMerge w:val="continue"/>
            <w:tcBorders>
              <w:top w:val="nil"/>
              <w:left w:val="nil"/>
              <w:bottom w:val="nil"/>
              <w:right w:val="nil"/>
            </w:tcBorders>
            <w:shd w:val="clear" w:color="auto" w:fill="FFFFFF"/>
            <w:vAlign w:val="center"/>
          </w:tcPr>
          <w:p w14:paraId="4BAD31B6">
            <w:pPr>
              <w:rPr>
                <w:color w:val="000000"/>
              </w:rPr>
            </w:pPr>
          </w:p>
        </w:tc>
        <w:tc>
          <w:tcPr>
            <w:tcW w:w="554" w:type="pct"/>
            <w:tcBorders>
              <w:top w:val="nil"/>
              <w:left w:val="nil"/>
              <w:bottom w:val="nil"/>
              <w:right w:val="nil"/>
            </w:tcBorders>
            <w:shd w:val="clear" w:color="auto" w:fill="FFFFFF"/>
            <w:vAlign w:val="center"/>
          </w:tcPr>
          <w:p w14:paraId="3B4F84AB">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0D9B9A5D">
            <w:pPr>
              <w:widowControl/>
              <w:jc w:val="center"/>
              <w:textAlignment w:val="center"/>
              <w:rPr>
                <w:color w:val="000000"/>
              </w:rPr>
            </w:pPr>
            <w:r>
              <w:rPr>
                <w:color w:val="000000"/>
                <w:kern w:val="0"/>
                <w:sz w:val="22"/>
                <w:szCs w:val="22"/>
              </w:rPr>
              <w:t>0.16</w:t>
            </w:r>
            <w:r>
              <w:rPr>
                <w:rFonts w:hint="eastAsia"/>
                <w:color w:val="000000"/>
                <w:kern w:val="0"/>
                <w:sz w:val="22"/>
                <w:szCs w:val="22"/>
              </w:rPr>
              <w:t>±0.23</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35FCCEF3">
            <w:pPr>
              <w:widowControl/>
              <w:jc w:val="center"/>
              <w:textAlignment w:val="center"/>
              <w:rPr>
                <w:color w:val="000000"/>
              </w:rPr>
            </w:pPr>
            <w:r>
              <w:rPr>
                <w:color w:val="000000"/>
                <w:kern w:val="0"/>
                <w:sz w:val="22"/>
                <w:szCs w:val="22"/>
              </w:rPr>
              <w:t>-0.42</w:t>
            </w:r>
            <w:r>
              <w:rPr>
                <w:rFonts w:hint="eastAsia"/>
                <w:color w:val="000000"/>
                <w:kern w:val="0"/>
                <w:sz w:val="22"/>
                <w:szCs w:val="22"/>
              </w:rPr>
              <w:t>±0.01</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5278EAF">
            <w:pPr>
              <w:widowControl/>
              <w:jc w:val="center"/>
              <w:textAlignment w:val="center"/>
              <w:rPr>
                <w:color w:val="000000"/>
              </w:rPr>
            </w:pPr>
            <w:r>
              <w:rPr>
                <w:color w:val="000000"/>
                <w:kern w:val="0"/>
                <w:sz w:val="22"/>
                <w:szCs w:val="22"/>
              </w:rPr>
              <w:t>-0.155</w:t>
            </w:r>
            <w:r>
              <w:rPr>
                <w:rFonts w:hint="eastAsia"/>
                <w:color w:val="000000"/>
                <w:kern w:val="0"/>
                <w:sz w:val="22"/>
                <w:szCs w:val="22"/>
              </w:rPr>
              <w:t>±0.16</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100D58D3">
            <w:pPr>
              <w:widowControl/>
              <w:jc w:val="center"/>
              <w:textAlignment w:val="center"/>
              <w:rPr>
                <w:color w:val="000000"/>
              </w:rPr>
            </w:pPr>
            <w:r>
              <w:rPr>
                <w:color w:val="000000"/>
                <w:kern w:val="0"/>
                <w:sz w:val="22"/>
                <w:szCs w:val="22"/>
              </w:rPr>
              <w:t>-0.075</w:t>
            </w:r>
            <w:r>
              <w:rPr>
                <w:rFonts w:hint="eastAsia"/>
                <w:color w:val="000000"/>
                <w:kern w:val="0"/>
                <w:sz w:val="22"/>
                <w:szCs w:val="22"/>
              </w:rPr>
              <w:t>±0.37</w:t>
            </w:r>
            <w:r>
              <w:rPr>
                <w:rFonts w:hint="eastAsia"/>
                <w:color w:val="000000"/>
                <w:kern w:val="0"/>
                <w:sz w:val="22"/>
                <w:szCs w:val="22"/>
                <w:vertAlign w:val="superscript"/>
              </w:rPr>
              <w:t>ab</w:t>
            </w:r>
          </w:p>
        </w:tc>
      </w:tr>
      <w:tr w14:paraId="3E3D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0E6664F3">
            <w:pPr>
              <w:rPr>
                <w:color w:val="000000"/>
              </w:rPr>
            </w:pPr>
          </w:p>
        </w:tc>
        <w:tc>
          <w:tcPr>
            <w:tcW w:w="412" w:type="pct"/>
            <w:vMerge w:val="restart"/>
            <w:tcBorders>
              <w:top w:val="nil"/>
              <w:left w:val="nil"/>
              <w:bottom w:val="nil"/>
              <w:right w:val="nil"/>
            </w:tcBorders>
            <w:shd w:val="clear" w:color="auto" w:fill="FFFFFF"/>
            <w:vAlign w:val="center"/>
          </w:tcPr>
          <w:p w14:paraId="3332B2D6">
            <w:pPr>
              <w:jc w:val="center"/>
              <w:rPr>
                <w:color w:val="000000"/>
              </w:rPr>
            </w:pPr>
            <w:r>
              <w:rPr>
                <w:rFonts w:hint="eastAsia"/>
                <w:color w:val="000000"/>
              </w:rPr>
              <w:t>40d</w:t>
            </w:r>
          </w:p>
        </w:tc>
        <w:tc>
          <w:tcPr>
            <w:tcW w:w="554" w:type="pct"/>
            <w:tcBorders>
              <w:top w:val="nil"/>
              <w:left w:val="nil"/>
              <w:bottom w:val="nil"/>
              <w:right w:val="nil"/>
            </w:tcBorders>
            <w:shd w:val="clear" w:color="auto" w:fill="FFFFFF"/>
            <w:vAlign w:val="center"/>
          </w:tcPr>
          <w:p w14:paraId="706A9DFE">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19F91A5E">
            <w:pPr>
              <w:widowControl/>
              <w:jc w:val="center"/>
              <w:textAlignment w:val="center"/>
              <w:rPr>
                <w:color w:val="000000"/>
              </w:rPr>
            </w:pPr>
            <w:r>
              <w:rPr>
                <w:color w:val="000000"/>
                <w:kern w:val="0"/>
                <w:sz w:val="22"/>
                <w:szCs w:val="22"/>
              </w:rPr>
              <w:t>-0.75</w:t>
            </w:r>
            <w:r>
              <w:rPr>
                <w:rFonts w:hint="eastAsia"/>
                <w:color w:val="000000"/>
                <w:kern w:val="0"/>
                <w:sz w:val="22"/>
                <w:szCs w:val="22"/>
              </w:rPr>
              <w:t>±0.03</w:t>
            </w:r>
            <w:r>
              <w:rPr>
                <w:rFonts w:hint="eastAsia"/>
                <w:color w:val="000000"/>
                <w:kern w:val="0"/>
                <w:sz w:val="22"/>
                <w:szCs w:val="22"/>
                <w:vertAlign w:val="superscript"/>
              </w:rPr>
              <w:t>b</w:t>
            </w:r>
          </w:p>
        </w:tc>
        <w:tc>
          <w:tcPr>
            <w:tcW w:w="865" w:type="pct"/>
            <w:tcBorders>
              <w:top w:val="nil"/>
              <w:left w:val="nil"/>
              <w:bottom w:val="nil"/>
              <w:right w:val="nil"/>
            </w:tcBorders>
            <w:shd w:val="clear" w:color="auto" w:fill="FFFFFF"/>
            <w:vAlign w:val="center"/>
          </w:tcPr>
          <w:p w14:paraId="3A45C454">
            <w:pPr>
              <w:widowControl/>
              <w:jc w:val="center"/>
              <w:textAlignment w:val="center"/>
              <w:rPr>
                <w:color w:val="000000"/>
              </w:rPr>
            </w:pPr>
            <w:r>
              <w:rPr>
                <w:color w:val="000000"/>
                <w:kern w:val="0"/>
                <w:sz w:val="22"/>
                <w:szCs w:val="22"/>
              </w:rPr>
              <w:t>-0.51</w:t>
            </w:r>
            <w:r>
              <w:rPr>
                <w:rFonts w:hint="eastAsia"/>
                <w:color w:val="000000"/>
                <w:kern w:val="0"/>
                <w:sz w:val="22"/>
                <w:szCs w:val="22"/>
              </w:rPr>
              <w:t>±0.13</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5D56B94F">
            <w:pPr>
              <w:widowControl/>
              <w:jc w:val="center"/>
              <w:textAlignment w:val="center"/>
              <w:rPr>
                <w:color w:val="000000"/>
              </w:rPr>
            </w:pPr>
            <w:r>
              <w:rPr>
                <w:color w:val="000000"/>
                <w:kern w:val="0"/>
                <w:sz w:val="22"/>
                <w:szCs w:val="22"/>
              </w:rPr>
              <w:t>-0.405</w:t>
            </w:r>
            <w:r>
              <w:rPr>
                <w:rFonts w:hint="eastAsia"/>
                <w:color w:val="000000"/>
                <w:kern w:val="0"/>
                <w:sz w:val="22"/>
                <w:szCs w:val="22"/>
              </w:rPr>
              <w:t>±0.06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97B2508">
            <w:pPr>
              <w:widowControl/>
              <w:jc w:val="center"/>
              <w:textAlignment w:val="center"/>
              <w:rPr>
                <w:color w:val="000000"/>
              </w:rPr>
            </w:pPr>
            <w:r>
              <w:rPr>
                <w:color w:val="000000"/>
                <w:kern w:val="0"/>
                <w:sz w:val="22"/>
                <w:szCs w:val="22"/>
              </w:rPr>
              <w:t>-0.575</w:t>
            </w:r>
            <w:r>
              <w:rPr>
                <w:rFonts w:hint="eastAsia"/>
                <w:color w:val="000000"/>
                <w:kern w:val="0"/>
                <w:sz w:val="22"/>
                <w:szCs w:val="22"/>
              </w:rPr>
              <w:t>±0.18</w:t>
            </w:r>
            <w:r>
              <w:rPr>
                <w:rFonts w:hint="eastAsia"/>
                <w:color w:val="000000"/>
                <w:kern w:val="0"/>
                <w:sz w:val="22"/>
                <w:szCs w:val="22"/>
                <w:vertAlign w:val="superscript"/>
              </w:rPr>
              <w:t>ab</w:t>
            </w:r>
          </w:p>
        </w:tc>
      </w:tr>
      <w:tr w14:paraId="234D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49A5E136">
            <w:pPr>
              <w:rPr>
                <w:color w:val="000000"/>
              </w:rPr>
            </w:pPr>
          </w:p>
        </w:tc>
        <w:tc>
          <w:tcPr>
            <w:tcW w:w="412" w:type="pct"/>
            <w:vMerge w:val="continue"/>
            <w:tcBorders>
              <w:top w:val="nil"/>
              <w:left w:val="nil"/>
              <w:bottom w:val="nil"/>
              <w:right w:val="nil"/>
            </w:tcBorders>
            <w:shd w:val="clear" w:color="auto" w:fill="FFFFFF"/>
            <w:vAlign w:val="center"/>
          </w:tcPr>
          <w:p w14:paraId="6F00D4DD">
            <w:pPr>
              <w:rPr>
                <w:color w:val="000000"/>
              </w:rPr>
            </w:pPr>
          </w:p>
        </w:tc>
        <w:tc>
          <w:tcPr>
            <w:tcW w:w="554" w:type="pct"/>
            <w:tcBorders>
              <w:top w:val="nil"/>
              <w:left w:val="nil"/>
              <w:bottom w:val="nil"/>
              <w:right w:val="nil"/>
            </w:tcBorders>
            <w:shd w:val="clear" w:color="auto" w:fill="FFFFFF"/>
            <w:vAlign w:val="center"/>
          </w:tcPr>
          <w:p w14:paraId="109EAB02">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0552F46E">
            <w:pPr>
              <w:widowControl/>
              <w:jc w:val="center"/>
              <w:textAlignment w:val="center"/>
              <w:rPr>
                <w:color w:val="000000"/>
              </w:rPr>
            </w:pPr>
            <w:r>
              <w:rPr>
                <w:color w:val="000000"/>
                <w:kern w:val="0"/>
                <w:sz w:val="22"/>
                <w:szCs w:val="22"/>
              </w:rPr>
              <w:t>-0.565</w:t>
            </w:r>
            <w:r>
              <w:rPr>
                <w:rFonts w:hint="eastAsia"/>
                <w:color w:val="000000"/>
                <w:kern w:val="0"/>
                <w:sz w:val="22"/>
                <w:szCs w:val="22"/>
              </w:rPr>
              <w:t>±0.04</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02A0C3C9">
            <w:pPr>
              <w:widowControl/>
              <w:jc w:val="center"/>
              <w:textAlignment w:val="center"/>
              <w:rPr>
                <w:color w:val="000000"/>
              </w:rPr>
            </w:pPr>
            <w:r>
              <w:rPr>
                <w:color w:val="000000"/>
                <w:kern w:val="0"/>
                <w:sz w:val="22"/>
                <w:szCs w:val="22"/>
              </w:rPr>
              <w:t>-0.625</w:t>
            </w:r>
            <w:r>
              <w:rPr>
                <w:rFonts w:hint="eastAsia"/>
                <w:color w:val="000000"/>
                <w:kern w:val="0"/>
                <w:sz w:val="22"/>
                <w:szCs w:val="22"/>
              </w:rPr>
              <w:t>±0.02</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1C8C2A32">
            <w:pPr>
              <w:widowControl/>
              <w:jc w:val="center"/>
              <w:textAlignment w:val="center"/>
              <w:rPr>
                <w:color w:val="000000"/>
              </w:rPr>
            </w:pPr>
            <w:r>
              <w:rPr>
                <w:color w:val="000000"/>
                <w:kern w:val="0"/>
                <w:sz w:val="22"/>
                <w:szCs w:val="22"/>
              </w:rPr>
              <w:t>-0.505</w:t>
            </w:r>
            <w:r>
              <w:rPr>
                <w:rFonts w:hint="eastAsia"/>
                <w:color w:val="000000"/>
                <w:kern w:val="0"/>
                <w:sz w:val="22"/>
                <w:szCs w:val="22"/>
              </w:rPr>
              <w:t>±0.06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D75EE76">
            <w:pPr>
              <w:widowControl/>
              <w:jc w:val="center"/>
              <w:textAlignment w:val="center"/>
              <w:rPr>
                <w:color w:val="000000"/>
              </w:rPr>
            </w:pPr>
            <w:r>
              <w:rPr>
                <w:color w:val="000000"/>
                <w:kern w:val="0"/>
                <w:sz w:val="22"/>
                <w:szCs w:val="22"/>
              </w:rPr>
              <w:t>-0.315</w:t>
            </w:r>
            <w:r>
              <w:rPr>
                <w:rFonts w:hint="eastAsia"/>
                <w:color w:val="000000"/>
                <w:kern w:val="0"/>
                <w:sz w:val="22"/>
                <w:szCs w:val="22"/>
              </w:rPr>
              <w:t>±0.21</w:t>
            </w:r>
            <w:r>
              <w:rPr>
                <w:rFonts w:hint="eastAsia"/>
                <w:color w:val="000000"/>
                <w:kern w:val="0"/>
                <w:sz w:val="22"/>
                <w:szCs w:val="22"/>
                <w:vertAlign w:val="superscript"/>
              </w:rPr>
              <w:t>a</w:t>
            </w:r>
          </w:p>
        </w:tc>
      </w:tr>
      <w:tr w14:paraId="32F22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3BA3AE58">
            <w:pPr>
              <w:rPr>
                <w:color w:val="000000"/>
              </w:rPr>
            </w:pPr>
          </w:p>
        </w:tc>
        <w:tc>
          <w:tcPr>
            <w:tcW w:w="412" w:type="pct"/>
            <w:vMerge w:val="continue"/>
            <w:tcBorders>
              <w:top w:val="nil"/>
              <w:left w:val="nil"/>
              <w:bottom w:val="nil"/>
              <w:right w:val="nil"/>
            </w:tcBorders>
            <w:shd w:val="clear" w:color="auto" w:fill="FFFFFF"/>
            <w:vAlign w:val="center"/>
          </w:tcPr>
          <w:p w14:paraId="27227DA4">
            <w:pPr>
              <w:rPr>
                <w:color w:val="000000"/>
              </w:rPr>
            </w:pPr>
          </w:p>
        </w:tc>
        <w:tc>
          <w:tcPr>
            <w:tcW w:w="554" w:type="pct"/>
            <w:tcBorders>
              <w:top w:val="nil"/>
              <w:left w:val="nil"/>
              <w:bottom w:val="nil"/>
              <w:right w:val="nil"/>
            </w:tcBorders>
            <w:shd w:val="clear" w:color="auto" w:fill="FFFFFF"/>
            <w:vAlign w:val="center"/>
          </w:tcPr>
          <w:p w14:paraId="1A583929">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257CFCA1">
            <w:pPr>
              <w:widowControl/>
              <w:jc w:val="center"/>
              <w:textAlignment w:val="center"/>
              <w:rPr>
                <w:color w:val="000000"/>
              </w:rPr>
            </w:pPr>
            <w:r>
              <w:rPr>
                <w:color w:val="000000"/>
                <w:kern w:val="0"/>
                <w:sz w:val="22"/>
                <w:szCs w:val="22"/>
              </w:rPr>
              <w:t>-0.175</w:t>
            </w:r>
            <w:r>
              <w:rPr>
                <w:rFonts w:hint="eastAsia"/>
                <w:color w:val="000000"/>
                <w:kern w:val="0"/>
                <w:sz w:val="22"/>
                <w:szCs w:val="22"/>
              </w:rPr>
              <w:t>±0.02</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49C77260">
            <w:pPr>
              <w:widowControl/>
              <w:jc w:val="center"/>
              <w:textAlignment w:val="center"/>
              <w:rPr>
                <w:color w:val="000000"/>
              </w:rPr>
            </w:pPr>
            <w:r>
              <w:rPr>
                <w:color w:val="000000"/>
                <w:kern w:val="0"/>
                <w:sz w:val="22"/>
                <w:szCs w:val="22"/>
              </w:rPr>
              <w:t>-0.485</w:t>
            </w:r>
            <w:r>
              <w:rPr>
                <w:rFonts w:hint="eastAsia"/>
                <w:color w:val="000000"/>
                <w:kern w:val="0"/>
                <w:sz w:val="22"/>
                <w:szCs w:val="22"/>
              </w:rPr>
              <w:t>±0.15</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2CCBB0B6">
            <w:pPr>
              <w:widowControl/>
              <w:jc w:val="center"/>
              <w:textAlignment w:val="center"/>
              <w:rPr>
                <w:color w:val="000000"/>
              </w:rPr>
            </w:pPr>
            <w:r>
              <w:rPr>
                <w:color w:val="000000"/>
                <w:kern w:val="0"/>
                <w:sz w:val="22"/>
                <w:szCs w:val="22"/>
              </w:rPr>
              <w:t>-0.305</w:t>
            </w:r>
            <w:r>
              <w:rPr>
                <w:rFonts w:hint="eastAsia"/>
                <w:color w:val="000000"/>
                <w:kern w:val="0"/>
                <w:sz w:val="22"/>
                <w:szCs w:val="22"/>
              </w:rPr>
              <w:t>±0.05</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41A54BED">
            <w:pPr>
              <w:widowControl/>
              <w:jc w:val="center"/>
              <w:textAlignment w:val="center"/>
              <w:rPr>
                <w:color w:val="000000"/>
              </w:rPr>
            </w:pPr>
            <w:r>
              <w:rPr>
                <w:color w:val="000000"/>
                <w:kern w:val="0"/>
                <w:sz w:val="22"/>
                <w:szCs w:val="22"/>
              </w:rPr>
              <w:t>0.105</w:t>
            </w:r>
            <w:r>
              <w:rPr>
                <w:rFonts w:hint="eastAsia"/>
                <w:color w:val="000000"/>
                <w:kern w:val="0"/>
                <w:sz w:val="22"/>
                <w:szCs w:val="22"/>
              </w:rPr>
              <w:t>±0.16</w:t>
            </w:r>
            <w:r>
              <w:rPr>
                <w:rFonts w:hint="eastAsia"/>
                <w:color w:val="000000"/>
                <w:kern w:val="0"/>
                <w:sz w:val="22"/>
                <w:szCs w:val="22"/>
                <w:vertAlign w:val="superscript"/>
              </w:rPr>
              <w:t>a</w:t>
            </w:r>
          </w:p>
        </w:tc>
      </w:tr>
      <w:tr w14:paraId="27903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15DB54F7">
            <w:pPr>
              <w:rPr>
                <w:color w:val="000000"/>
              </w:rPr>
            </w:pPr>
          </w:p>
        </w:tc>
        <w:tc>
          <w:tcPr>
            <w:tcW w:w="412" w:type="pct"/>
            <w:vMerge w:val="continue"/>
            <w:tcBorders>
              <w:top w:val="nil"/>
              <w:left w:val="nil"/>
              <w:bottom w:val="nil"/>
              <w:right w:val="nil"/>
            </w:tcBorders>
            <w:shd w:val="clear" w:color="auto" w:fill="FFFFFF"/>
            <w:vAlign w:val="center"/>
          </w:tcPr>
          <w:p w14:paraId="69208F48">
            <w:pPr>
              <w:rPr>
                <w:color w:val="000000"/>
              </w:rPr>
            </w:pPr>
          </w:p>
        </w:tc>
        <w:tc>
          <w:tcPr>
            <w:tcW w:w="554" w:type="pct"/>
            <w:tcBorders>
              <w:top w:val="nil"/>
              <w:left w:val="nil"/>
              <w:bottom w:val="nil"/>
              <w:right w:val="nil"/>
            </w:tcBorders>
            <w:shd w:val="clear" w:color="auto" w:fill="FFFFFF"/>
            <w:vAlign w:val="center"/>
          </w:tcPr>
          <w:p w14:paraId="703E07D4">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2805BF5B">
            <w:pPr>
              <w:widowControl/>
              <w:jc w:val="center"/>
              <w:textAlignment w:val="center"/>
              <w:rPr>
                <w:color w:val="000000"/>
              </w:rPr>
            </w:pPr>
            <w:r>
              <w:rPr>
                <w:color w:val="000000"/>
                <w:kern w:val="0"/>
                <w:sz w:val="22"/>
                <w:szCs w:val="22"/>
              </w:rPr>
              <w:t>0.34</w:t>
            </w:r>
            <w:r>
              <w:rPr>
                <w:rFonts w:hint="eastAsia"/>
                <w:color w:val="000000"/>
                <w:kern w:val="0"/>
                <w:sz w:val="22"/>
                <w:szCs w:val="22"/>
              </w:rPr>
              <w:t>±0.16</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6A73B2AA">
            <w:pPr>
              <w:widowControl/>
              <w:jc w:val="center"/>
              <w:textAlignment w:val="center"/>
              <w:rPr>
                <w:bCs/>
                <w:color w:val="000000"/>
              </w:rPr>
            </w:pPr>
            <w:r>
              <w:rPr>
                <w:color w:val="000000"/>
                <w:kern w:val="0"/>
                <w:sz w:val="22"/>
                <w:szCs w:val="22"/>
              </w:rPr>
              <w:t>-0.235</w:t>
            </w:r>
            <w:r>
              <w:rPr>
                <w:rFonts w:hint="eastAsia"/>
                <w:color w:val="000000"/>
                <w:kern w:val="0"/>
                <w:sz w:val="22"/>
                <w:szCs w:val="22"/>
              </w:rPr>
              <w:t>±0.01</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12FF7898">
            <w:pPr>
              <w:widowControl/>
              <w:jc w:val="center"/>
              <w:textAlignment w:val="center"/>
              <w:rPr>
                <w:color w:val="000000"/>
              </w:rPr>
            </w:pPr>
            <w:r>
              <w:rPr>
                <w:color w:val="000000"/>
                <w:kern w:val="0"/>
                <w:sz w:val="22"/>
                <w:szCs w:val="22"/>
              </w:rPr>
              <w:t>0.065</w:t>
            </w:r>
            <w:r>
              <w:rPr>
                <w:rFonts w:hint="eastAsia"/>
                <w:color w:val="000000"/>
                <w:kern w:val="0"/>
                <w:sz w:val="22"/>
                <w:szCs w:val="22"/>
              </w:rPr>
              <w:t>±0.01</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2BCA55F9">
            <w:pPr>
              <w:widowControl/>
              <w:jc w:val="center"/>
              <w:textAlignment w:val="center"/>
              <w:rPr>
                <w:color w:val="000000"/>
              </w:rPr>
            </w:pPr>
            <w:r>
              <w:rPr>
                <w:color w:val="000000"/>
                <w:kern w:val="0"/>
                <w:sz w:val="22"/>
                <w:szCs w:val="22"/>
              </w:rPr>
              <w:t>0.005</w:t>
            </w:r>
            <w:r>
              <w:rPr>
                <w:rFonts w:hint="eastAsia"/>
                <w:color w:val="000000"/>
                <w:kern w:val="0"/>
                <w:sz w:val="22"/>
                <w:szCs w:val="22"/>
              </w:rPr>
              <w:t>±0.23</w:t>
            </w:r>
            <w:r>
              <w:rPr>
                <w:rFonts w:hint="eastAsia"/>
                <w:color w:val="000000"/>
                <w:kern w:val="0"/>
                <w:sz w:val="22"/>
                <w:szCs w:val="22"/>
                <w:vertAlign w:val="superscript"/>
              </w:rPr>
              <w:t>ab</w:t>
            </w:r>
          </w:p>
        </w:tc>
      </w:tr>
      <w:tr w14:paraId="5CFB1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restart"/>
            <w:tcBorders>
              <w:top w:val="nil"/>
              <w:left w:val="nil"/>
              <w:bottom w:val="nil"/>
              <w:right w:val="nil"/>
            </w:tcBorders>
            <w:shd w:val="clear" w:color="auto" w:fill="FFFFFF"/>
            <w:vAlign w:val="center"/>
          </w:tcPr>
          <w:p w14:paraId="74726A32">
            <w:pPr>
              <w:jc w:val="center"/>
              <w:rPr>
                <w:color w:val="000000"/>
              </w:rPr>
            </w:pPr>
            <w:r>
              <w:rPr>
                <w:rFonts w:hint="eastAsia"/>
                <w:color w:val="000000"/>
              </w:rPr>
              <w:t>b</w:t>
            </w:r>
          </w:p>
        </w:tc>
        <w:tc>
          <w:tcPr>
            <w:tcW w:w="412" w:type="pct"/>
            <w:vMerge w:val="restart"/>
            <w:tcBorders>
              <w:top w:val="nil"/>
              <w:left w:val="nil"/>
              <w:bottom w:val="nil"/>
              <w:right w:val="nil"/>
            </w:tcBorders>
            <w:shd w:val="clear" w:color="auto" w:fill="FFFFFF"/>
            <w:vAlign w:val="center"/>
          </w:tcPr>
          <w:p w14:paraId="3353DD0B">
            <w:pPr>
              <w:jc w:val="center"/>
              <w:rPr>
                <w:color w:val="000000"/>
              </w:rPr>
            </w:pPr>
            <w:r>
              <w:rPr>
                <w:rFonts w:hint="eastAsia"/>
                <w:color w:val="000000"/>
              </w:rPr>
              <w:t>10d</w:t>
            </w:r>
          </w:p>
        </w:tc>
        <w:tc>
          <w:tcPr>
            <w:tcW w:w="554" w:type="pct"/>
            <w:tcBorders>
              <w:top w:val="nil"/>
              <w:left w:val="nil"/>
              <w:bottom w:val="nil"/>
              <w:right w:val="nil"/>
            </w:tcBorders>
            <w:shd w:val="clear" w:color="auto" w:fill="FFFFFF"/>
            <w:vAlign w:val="center"/>
          </w:tcPr>
          <w:p w14:paraId="0C23DD64">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2DDC2E4E">
            <w:pPr>
              <w:widowControl/>
              <w:jc w:val="center"/>
              <w:textAlignment w:val="center"/>
              <w:rPr>
                <w:color w:val="000000"/>
              </w:rPr>
            </w:pPr>
            <w:r>
              <w:rPr>
                <w:color w:val="000000"/>
                <w:kern w:val="0"/>
                <w:sz w:val="22"/>
                <w:szCs w:val="22"/>
              </w:rPr>
              <w:t>5.045</w:t>
            </w:r>
            <w:r>
              <w:rPr>
                <w:rFonts w:hint="eastAsia"/>
                <w:color w:val="000000"/>
                <w:kern w:val="0"/>
                <w:sz w:val="22"/>
                <w:szCs w:val="22"/>
              </w:rPr>
              <w:t>±0.49</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0FB1F988">
            <w:pPr>
              <w:widowControl/>
              <w:jc w:val="center"/>
              <w:textAlignment w:val="center"/>
              <w:rPr>
                <w:color w:val="000000"/>
              </w:rPr>
            </w:pPr>
            <w:r>
              <w:rPr>
                <w:color w:val="000000"/>
                <w:kern w:val="0"/>
                <w:sz w:val="22"/>
                <w:szCs w:val="22"/>
              </w:rPr>
              <w:t>3.09</w:t>
            </w:r>
            <w:r>
              <w:rPr>
                <w:rFonts w:hint="eastAsia"/>
                <w:color w:val="000000"/>
                <w:kern w:val="0"/>
                <w:sz w:val="22"/>
                <w:szCs w:val="22"/>
              </w:rPr>
              <w:t>±0.34</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5B247FF8">
            <w:pPr>
              <w:widowControl/>
              <w:jc w:val="center"/>
              <w:textAlignment w:val="center"/>
              <w:rPr>
                <w:color w:val="000000"/>
              </w:rPr>
            </w:pPr>
            <w:r>
              <w:rPr>
                <w:color w:val="000000"/>
                <w:kern w:val="0"/>
                <w:sz w:val="22"/>
                <w:szCs w:val="22"/>
              </w:rPr>
              <w:t>3.705</w:t>
            </w:r>
            <w:r>
              <w:rPr>
                <w:rFonts w:hint="eastAsia"/>
                <w:color w:val="000000"/>
                <w:kern w:val="0"/>
                <w:sz w:val="22"/>
                <w:szCs w:val="22"/>
              </w:rPr>
              <w:t>±0.81</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1A30FCB1">
            <w:pPr>
              <w:widowControl/>
              <w:jc w:val="center"/>
              <w:textAlignment w:val="center"/>
              <w:rPr>
                <w:color w:val="000000"/>
              </w:rPr>
            </w:pPr>
            <w:r>
              <w:rPr>
                <w:color w:val="000000"/>
                <w:kern w:val="0"/>
                <w:sz w:val="22"/>
                <w:szCs w:val="22"/>
              </w:rPr>
              <w:t>3.775</w:t>
            </w:r>
            <w:r>
              <w:rPr>
                <w:rFonts w:hint="eastAsia"/>
                <w:color w:val="000000"/>
                <w:kern w:val="0"/>
                <w:sz w:val="22"/>
                <w:szCs w:val="22"/>
              </w:rPr>
              <w:t>±0.53</w:t>
            </w:r>
            <w:r>
              <w:rPr>
                <w:rFonts w:hint="eastAsia"/>
                <w:color w:val="000000"/>
                <w:kern w:val="0"/>
                <w:sz w:val="22"/>
                <w:szCs w:val="22"/>
                <w:vertAlign w:val="superscript"/>
              </w:rPr>
              <w:t>ab</w:t>
            </w:r>
          </w:p>
        </w:tc>
      </w:tr>
      <w:tr w14:paraId="30AC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3070A143">
            <w:pPr>
              <w:rPr>
                <w:color w:val="000000"/>
              </w:rPr>
            </w:pPr>
          </w:p>
        </w:tc>
        <w:tc>
          <w:tcPr>
            <w:tcW w:w="412" w:type="pct"/>
            <w:vMerge w:val="continue"/>
            <w:tcBorders>
              <w:top w:val="nil"/>
              <w:left w:val="nil"/>
              <w:bottom w:val="nil"/>
              <w:right w:val="nil"/>
            </w:tcBorders>
            <w:shd w:val="clear" w:color="auto" w:fill="FFFFFF"/>
            <w:vAlign w:val="center"/>
          </w:tcPr>
          <w:p w14:paraId="6EA958E8">
            <w:pPr>
              <w:rPr>
                <w:color w:val="000000"/>
              </w:rPr>
            </w:pPr>
          </w:p>
        </w:tc>
        <w:tc>
          <w:tcPr>
            <w:tcW w:w="554" w:type="pct"/>
            <w:tcBorders>
              <w:top w:val="nil"/>
              <w:left w:val="nil"/>
              <w:bottom w:val="nil"/>
              <w:right w:val="nil"/>
            </w:tcBorders>
            <w:shd w:val="clear" w:color="auto" w:fill="FFFFFF"/>
            <w:vAlign w:val="center"/>
          </w:tcPr>
          <w:p w14:paraId="3C8C5076">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1DBC35C0">
            <w:pPr>
              <w:widowControl/>
              <w:jc w:val="center"/>
              <w:textAlignment w:val="center"/>
              <w:rPr>
                <w:color w:val="000000"/>
              </w:rPr>
            </w:pPr>
            <w:r>
              <w:rPr>
                <w:color w:val="000000"/>
                <w:kern w:val="0"/>
                <w:sz w:val="22"/>
                <w:szCs w:val="22"/>
              </w:rPr>
              <w:t>7.4</w:t>
            </w:r>
            <w:r>
              <w:rPr>
                <w:rFonts w:hint="eastAsia"/>
                <w:color w:val="000000"/>
                <w:kern w:val="0"/>
                <w:sz w:val="22"/>
                <w:szCs w:val="22"/>
              </w:rPr>
              <w:t>±0.16</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760FC14C">
            <w:pPr>
              <w:widowControl/>
              <w:jc w:val="center"/>
              <w:textAlignment w:val="center"/>
              <w:rPr>
                <w:bCs/>
                <w:color w:val="000000"/>
              </w:rPr>
            </w:pPr>
            <w:r>
              <w:rPr>
                <w:color w:val="000000"/>
                <w:kern w:val="0"/>
                <w:sz w:val="22"/>
                <w:szCs w:val="22"/>
              </w:rPr>
              <w:t>6.305</w:t>
            </w:r>
            <w:r>
              <w:rPr>
                <w:rFonts w:hint="eastAsia"/>
                <w:color w:val="000000"/>
                <w:kern w:val="0"/>
                <w:sz w:val="22"/>
                <w:szCs w:val="22"/>
              </w:rPr>
              <w:t>±0.43</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0504C2B4">
            <w:pPr>
              <w:widowControl/>
              <w:jc w:val="center"/>
              <w:textAlignment w:val="center"/>
              <w:rPr>
                <w:color w:val="000000"/>
              </w:rPr>
            </w:pPr>
            <w:r>
              <w:rPr>
                <w:color w:val="000000"/>
                <w:kern w:val="0"/>
                <w:sz w:val="22"/>
                <w:szCs w:val="22"/>
              </w:rPr>
              <w:t>5.185</w:t>
            </w:r>
            <w:r>
              <w:rPr>
                <w:rFonts w:hint="eastAsia"/>
                <w:color w:val="000000"/>
                <w:kern w:val="0"/>
                <w:sz w:val="22"/>
                <w:szCs w:val="22"/>
              </w:rPr>
              <w:t>±0.16</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2AA3C905">
            <w:pPr>
              <w:widowControl/>
              <w:jc w:val="center"/>
              <w:textAlignment w:val="center"/>
              <w:rPr>
                <w:color w:val="000000"/>
              </w:rPr>
            </w:pPr>
            <w:r>
              <w:rPr>
                <w:color w:val="000000"/>
                <w:kern w:val="0"/>
                <w:sz w:val="22"/>
                <w:szCs w:val="22"/>
              </w:rPr>
              <w:t>7.85</w:t>
            </w:r>
            <w:r>
              <w:rPr>
                <w:rFonts w:hint="eastAsia"/>
                <w:color w:val="000000"/>
                <w:kern w:val="0"/>
                <w:sz w:val="22"/>
                <w:szCs w:val="22"/>
              </w:rPr>
              <w:t>±0.30</w:t>
            </w:r>
            <w:r>
              <w:rPr>
                <w:rFonts w:hint="eastAsia"/>
                <w:color w:val="000000"/>
                <w:kern w:val="0"/>
                <w:sz w:val="22"/>
                <w:szCs w:val="22"/>
                <w:vertAlign w:val="superscript"/>
              </w:rPr>
              <w:t>a</w:t>
            </w:r>
          </w:p>
        </w:tc>
      </w:tr>
      <w:tr w14:paraId="6984F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7707D12D">
            <w:pPr>
              <w:rPr>
                <w:color w:val="000000"/>
              </w:rPr>
            </w:pPr>
          </w:p>
        </w:tc>
        <w:tc>
          <w:tcPr>
            <w:tcW w:w="412" w:type="pct"/>
            <w:vMerge w:val="continue"/>
            <w:tcBorders>
              <w:top w:val="nil"/>
              <w:left w:val="nil"/>
              <w:bottom w:val="nil"/>
              <w:right w:val="nil"/>
            </w:tcBorders>
            <w:shd w:val="clear" w:color="auto" w:fill="FFFFFF"/>
            <w:vAlign w:val="center"/>
          </w:tcPr>
          <w:p w14:paraId="1202098A">
            <w:pPr>
              <w:rPr>
                <w:color w:val="000000"/>
              </w:rPr>
            </w:pPr>
          </w:p>
        </w:tc>
        <w:tc>
          <w:tcPr>
            <w:tcW w:w="554" w:type="pct"/>
            <w:tcBorders>
              <w:top w:val="nil"/>
              <w:left w:val="nil"/>
              <w:bottom w:val="nil"/>
              <w:right w:val="nil"/>
            </w:tcBorders>
            <w:shd w:val="clear" w:color="auto" w:fill="FFFFFF"/>
            <w:vAlign w:val="center"/>
          </w:tcPr>
          <w:p w14:paraId="77129D21">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10282720">
            <w:pPr>
              <w:widowControl/>
              <w:jc w:val="center"/>
              <w:textAlignment w:val="center"/>
              <w:rPr>
                <w:color w:val="000000"/>
              </w:rPr>
            </w:pPr>
            <w:r>
              <w:rPr>
                <w:color w:val="000000"/>
                <w:kern w:val="0"/>
                <w:sz w:val="22"/>
                <w:szCs w:val="22"/>
              </w:rPr>
              <w:t>9.195</w:t>
            </w:r>
            <w:r>
              <w:rPr>
                <w:rFonts w:hint="eastAsia"/>
                <w:color w:val="000000"/>
                <w:kern w:val="0"/>
                <w:sz w:val="22"/>
                <w:szCs w:val="22"/>
              </w:rPr>
              <w:t>±0.12</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0F11790A">
            <w:pPr>
              <w:widowControl/>
              <w:jc w:val="center"/>
              <w:textAlignment w:val="center"/>
              <w:rPr>
                <w:color w:val="000000"/>
              </w:rPr>
            </w:pPr>
            <w:r>
              <w:rPr>
                <w:color w:val="000000"/>
                <w:kern w:val="0"/>
                <w:sz w:val="22"/>
                <w:szCs w:val="22"/>
              </w:rPr>
              <w:t>7.82</w:t>
            </w:r>
            <w:r>
              <w:rPr>
                <w:rFonts w:hint="eastAsia"/>
                <w:color w:val="000000"/>
                <w:kern w:val="0"/>
                <w:sz w:val="22"/>
                <w:szCs w:val="22"/>
              </w:rPr>
              <w:t>±0.10</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27FE0E5B">
            <w:pPr>
              <w:widowControl/>
              <w:jc w:val="center"/>
              <w:textAlignment w:val="center"/>
              <w:rPr>
                <w:color w:val="000000"/>
              </w:rPr>
            </w:pPr>
            <w:r>
              <w:rPr>
                <w:color w:val="000000"/>
                <w:kern w:val="0"/>
                <w:sz w:val="22"/>
                <w:szCs w:val="22"/>
              </w:rPr>
              <w:t>7.565</w:t>
            </w:r>
            <w:r>
              <w:rPr>
                <w:rFonts w:hint="eastAsia"/>
                <w:color w:val="000000"/>
                <w:kern w:val="0"/>
                <w:sz w:val="22"/>
                <w:szCs w:val="22"/>
              </w:rPr>
              <w:t>±0.67</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524DCE9A">
            <w:pPr>
              <w:widowControl/>
              <w:jc w:val="center"/>
              <w:textAlignment w:val="center"/>
              <w:rPr>
                <w:bCs/>
                <w:color w:val="000000"/>
              </w:rPr>
            </w:pPr>
            <w:r>
              <w:rPr>
                <w:color w:val="000000"/>
                <w:kern w:val="0"/>
                <w:sz w:val="22"/>
                <w:szCs w:val="22"/>
              </w:rPr>
              <w:t>9.465</w:t>
            </w:r>
            <w:r>
              <w:rPr>
                <w:rFonts w:hint="eastAsia"/>
                <w:color w:val="000000"/>
                <w:kern w:val="0"/>
                <w:sz w:val="22"/>
                <w:szCs w:val="22"/>
              </w:rPr>
              <w:t>±0.12</w:t>
            </w:r>
            <w:r>
              <w:rPr>
                <w:rFonts w:hint="eastAsia"/>
                <w:color w:val="000000"/>
                <w:kern w:val="0"/>
                <w:sz w:val="22"/>
                <w:szCs w:val="22"/>
                <w:vertAlign w:val="superscript"/>
              </w:rPr>
              <w:t>a</w:t>
            </w:r>
          </w:p>
        </w:tc>
      </w:tr>
      <w:tr w14:paraId="40DE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44B9CF02">
            <w:pPr>
              <w:rPr>
                <w:color w:val="000000"/>
              </w:rPr>
            </w:pPr>
          </w:p>
        </w:tc>
        <w:tc>
          <w:tcPr>
            <w:tcW w:w="412" w:type="pct"/>
            <w:vMerge w:val="continue"/>
            <w:tcBorders>
              <w:top w:val="nil"/>
              <w:left w:val="nil"/>
              <w:bottom w:val="nil"/>
              <w:right w:val="nil"/>
            </w:tcBorders>
            <w:shd w:val="clear" w:color="auto" w:fill="FFFFFF"/>
            <w:vAlign w:val="center"/>
          </w:tcPr>
          <w:p w14:paraId="1AD2DB6B">
            <w:pPr>
              <w:rPr>
                <w:color w:val="000000"/>
              </w:rPr>
            </w:pPr>
          </w:p>
        </w:tc>
        <w:tc>
          <w:tcPr>
            <w:tcW w:w="554" w:type="pct"/>
            <w:tcBorders>
              <w:top w:val="nil"/>
              <w:left w:val="nil"/>
              <w:bottom w:val="nil"/>
              <w:right w:val="nil"/>
            </w:tcBorders>
            <w:shd w:val="clear" w:color="auto" w:fill="FFFFFF"/>
            <w:vAlign w:val="center"/>
          </w:tcPr>
          <w:p w14:paraId="416AA949">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06276F5F">
            <w:pPr>
              <w:widowControl/>
              <w:jc w:val="center"/>
              <w:textAlignment w:val="center"/>
              <w:rPr>
                <w:color w:val="000000"/>
              </w:rPr>
            </w:pPr>
            <w:r>
              <w:rPr>
                <w:color w:val="000000"/>
                <w:kern w:val="0"/>
                <w:sz w:val="22"/>
                <w:szCs w:val="22"/>
              </w:rPr>
              <w:t>9.315</w:t>
            </w:r>
            <w:r>
              <w:rPr>
                <w:rFonts w:hint="eastAsia"/>
                <w:color w:val="000000"/>
                <w:kern w:val="0"/>
                <w:sz w:val="22"/>
                <w:szCs w:val="22"/>
              </w:rPr>
              <w:t>±0.94</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12C650A1">
            <w:pPr>
              <w:widowControl/>
              <w:jc w:val="center"/>
              <w:textAlignment w:val="center"/>
              <w:rPr>
                <w:color w:val="000000"/>
              </w:rPr>
            </w:pPr>
            <w:r>
              <w:rPr>
                <w:color w:val="000000"/>
                <w:kern w:val="0"/>
                <w:sz w:val="22"/>
                <w:szCs w:val="22"/>
              </w:rPr>
              <w:t>9.27</w:t>
            </w:r>
            <w:r>
              <w:rPr>
                <w:rFonts w:hint="eastAsia"/>
                <w:color w:val="000000"/>
                <w:kern w:val="0"/>
                <w:sz w:val="22"/>
                <w:szCs w:val="22"/>
              </w:rPr>
              <w:t>±0.03</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5476EEC1">
            <w:pPr>
              <w:widowControl/>
              <w:jc w:val="center"/>
              <w:textAlignment w:val="center"/>
              <w:rPr>
                <w:color w:val="000000"/>
              </w:rPr>
            </w:pPr>
            <w:r>
              <w:rPr>
                <w:color w:val="000000"/>
                <w:kern w:val="0"/>
                <w:sz w:val="22"/>
                <w:szCs w:val="22"/>
              </w:rPr>
              <w:t>8.74</w:t>
            </w:r>
            <w:r>
              <w:rPr>
                <w:rFonts w:hint="eastAsia"/>
                <w:color w:val="000000"/>
                <w:kern w:val="0"/>
                <w:sz w:val="22"/>
                <w:szCs w:val="22"/>
              </w:rPr>
              <w:t>±0.11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167E1E06">
            <w:pPr>
              <w:widowControl/>
              <w:jc w:val="center"/>
              <w:textAlignment w:val="center"/>
              <w:rPr>
                <w:color w:val="000000"/>
              </w:rPr>
            </w:pPr>
            <w:r>
              <w:rPr>
                <w:color w:val="000000"/>
                <w:kern w:val="0"/>
                <w:sz w:val="22"/>
                <w:szCs w:val="22"/>
              </w:rPr>
              <w:t>8.875</w:t>
            </w:r>
            <w:r>
              <w:rPr>
                <w:rFonts w:hint="eastAsia"/>
                <w:color w:val="000000"/>
                <w:kern w:val="0"/>
                <w:sz w:val="22"/>
                <w:szCs w:val="22"/>
              </w:rPr>
              <w:t>±0.84</w:t>
            </w:r>
            <w:r>
              <w:rPr>
                <w:rFonts w:hint="eastAsia"/>
                <w:color w:val="000000"/>
                <w:kern w:val="0"/>
                <w:sz w:val="22"/>
                <w:szCs w:val="22"/>
                <w:vertAlign w:val="superscript"/>
              </w:rPr>
              <w:t>a</w:t>
            </w:r>
          </w:p>
        </w:tc>
      </w:tr>
      <w:tr w14:paraId="634E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3BC2533C">
            <w:pPr>
              <w:rPr>
                <w:color w:val="000000"/>
              </w:rPr>
            </w:pPr>
          </w:p>
        </w:tc>
        <w:tc>
          <w:tcPr>
            <w:tcW w:w="412" w:type="pct"/>
            <w:vMerge w:val="restart"/>
            <w:tcBorders>
              <w:top w:val="nil"/>
              <w:left w:val="nil"/>
              <w:bottom w:val="nil"/>
              <w:right w:val="nil"/>
            </w:tcBorders>
            <w:shd w:val="clear" w:color="auto" w:fill="FFFFFF"/>
            <w:vAlign w:val="center"/>
          </w:tcPr>
          <w:p w14:paraId="4894327D">
            <w:pPr>
              <w:jc w:val="center"/>
              <w:rPr>
                <w:color w:val="000000"/>
              </w:rPr>
            </w:pPr>
            <w:r>
              <w:rPr>
                <w:rFonts w:hint="eastAsia"/>
                <w:color w:val="000000"/>
              </w:rPr>
              <w:t>20d</w:t>
            </w:r>
          </w:p>
        </w:tc>
        <w:tc>
          <w:tcPr>
            <w:tcW w:w="554" w:type="pct"/>
            <w:tcBorders>
              <w:top w:val="nil"/>
              <w:left w:val="nil"/>
              <w:bottom w:val="nil"/>
              <w:right w:val="nil"/>
            </w:tcBorders>
            <w:shd w:val="clear" w:color="auto" w:fill="FFFFFF"/>
            <w:vAlign w:val="center"/>
          </w:tcPr>
          <w:p w14:paraId="209EBCB5">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4951794E">
            <w:pPr>
              <w:widowControl/>
              <w:jc w:val="center"/>
              <w:textAlignment w:val="center"/>
              <w:rPr>
                <w:color w:val="000000"/>
              </w:rPr>
            </w:pPr>
            <w:r>
              <w:rPr>
                <w:color w:val="000000"/>
                <w:kern w:val="0"/>
                <w:sz w:val="22"/>
                <w:szCs w:val="22"/>
              </w:rPr>
              <w:t>5.33</w:t>
            </w:r>
            <w:r>
              <w:rPr>
                <w:rFonts w:hint="eastAsia"/>
                <w:color w:val="000000"/>
                <w:kern w:val="0"/>
                <w:sz w:val="22"/>
                <w:szCs w:val="22"/>
              </w:rPr>
              <w:t>±0.41</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3901CAE2">
            <w:pPr>
              <w:widowControl/>
              <w:jc w:val="center"/>
              <w:textAlignment w:val="center"/>
              <w:rPr>
                <w:color w:val="000000"/>
              </w:rPr>
            </w:pPr>
            <w:r>
              <w:rPr>
                <w:color w:val="000000"/>
                <w:kern w:val="0"/>
                <w:sz w:val="22"/>
                <w:szCs w:val="22"/>
              </w:rPr>
              <w:t>3.28</w:t>
            </w:r>
            <w:r>
              <w:rPr>
                <w:rFonts w:hint="eastAsia"/>
                <w:color w:val="000000"/>
                <w:kern w:val="0"/>
                <w:sz w:val="22"/>
                <w:szCs w:val="22"/>
              </w:rPr>
              <w:t>±0.23</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4AD1ADA">
            <w:pPr>
              <w:widowControl/>
              <w:jc w:val="center"/>
              <w:textAlignment w:val="center"/>
              <w:rPr>
                <w:color w:val="000000"/>
              </w:rPr>
            </w:pPr>
            <w:r>
              <w:rPr>
                <w:color w:val="000000"/>
                <w:kern w:val="0"/>
                <w:sz w:val="22"/>
                <w:szCs w:val="22"/>
              </w:rPr>
              <w:t>3.965</w:t>
            </w:r>
            <w:r>
              <w:rPr>
                <w:rFonts w:hint="eastAsia"/>
                <w:color w:val="000000"/>
                <w:kern w:val="0"/>
                <w:sz w:val="22"/>
                <w:szCs w:val="22"/>
              </w:rPr>
              <w:t>±1.07</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6A1C3DAF">
            <w:pPr>
              <w:widowControl/>
              <w:jc w:val="center"/>
              <w:textAlignment w:val="center"/>
              <w:rPr>
                <w:color w:val="000000"/>
              </w:rPr>
            </w:pPr>
            <w:r>
              <w:rPr>
                <w:color w:val="000000"/>
                <w:kern w:val="0"/>
                <w:sz w:val="22"/>
                <w:szCs w:val="22"/>
              </w:rPr>
              <w:t>3.96</w:t>
            </w:r>
            <w:r>
              <w:rPr>
                <w:rFonts w:hint="eastAsia"/>
                <w:color w:val="000000"/>
                <w:kern w:val="0"/>
                <w:sz w:val="22"/>
                <w:szCs w:val="22"/>
              </w:rPr>
              <w:t>±0.25</w:t>
            </w:r>
            <w:r>
              <w:rPr>
                <w:rFonts w:hint="eastAsia"/>
                <w:color w:val="000000"/>
                <w:kern w:val="0"/>
                <w:sz w:val="22"/>
                <w:szCs w:val="22"/>
                <w:vertAlign w:val="superscript"/>
              </w:rPr>
              <w:t>a</w:t>
            </w:r>
          </w:p>
        </w:tc>
      </w:tr>
      <w:tr w14:paraId="4483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01B5FFFD">
            <w:pPr>
              <w:rPr>
                <w:color w:val="000000"/>
              </w:rPr>
            </w:pPr>
          </w:p>
        </w:tc>
        <w:tc>
          <w:tcPr>
            <w:tcW w:w="412" w:type="pct"/>
            <w:vMerge w:val="continue"/>
            <w:tcBorders>
              <w:top w:val="nil"/>
              <w:left w:val="nil"/>
              <w:bottom w:val="nil"/>
              <w:right w:val="nil"/>
            </w:tcBorders>
            <w:shd w:val="clear" w:color="auto" w:fill="FFFFFF"/>
            <w:vAlign w:val="center"/>
          </w:tcPr>
          <w:p w14:paraId="111610FD">
            <w:pPr>
              <w:rPr>
                <w:color w:val="000000"/>
              </w:rPr>
            </w:pPr>
          </w:p>
        </w:tc>
        <w:tc>
          <w:tcPr>
            <w:tcW w:w="554" w:type="pct"/>
            <w:tcBorders>
              <w:top w:val="nil"/>
              <w:left w:val="nil"/>
              <w:bottom w:val="nil"/>
              <w:right w:val="nil"/>
            </w:tcBorders>
            <w:shd w:val="clear" w:color="auto" w:fill="FFFFFF"/>
            <w:vAlign w:val="center"/>
          </w:tcPr>
          <w:p w14:paraId="07194805">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38160E6D">
            <w:pPr>
              <w:widowControl/>
              <w:jc w:val="center"/>
              <w:textAlignment w:val="center"/>
              <w:rPr>
                <w:color w:val="000000"/>
              </w:rPr>
            </w:pPr>
            <w:r>
              <w:rPr>
                <w:color w:val="000000"/>
                <w:kern w:val="0"/>
                <w:sz w:val="22"/>
                <w:szCs w:val="22"/>
              </w:rPr>
              <w:t>7.675</w:t>
            </w:r>
            <w:r>
              <w:rPr>
                <w:rFonts w:hint="eastAsia"/>
                <w:color w:val="000000"/>
                <w:kern w:val="0"/>
                <w:sz w:val="22"/>
                <w:szCs w:val="22"/>
              </w:rPr>
              <w:t>±0.28</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4AA5AE94">
            <w:pPr>
              <w:widowControl/>
              <w:jc w:val="center"/>
              <w:textAlignment w:val="center"/>
              <w:rPr>
                <w:color w:val="000000"/>
              </w:rPr>
            </w:pPr>
            <w:r>
              <w:rPr>
                <w:color w:val="000000"/>
                <w:kern w:val="0"/>
                <w:sz w:val="22"/>
                <w:szCs w:val="22"/>
              </w:rPr>
              <w:t>6.425</w:t>
            </w:r>
            <w:r>
              <w:rPr>
                <w:rFonts w:hint="eastAsia"/>
                <w:color w:val="000000"/>
                <w:kern w:val="0"/>
                <w:sz w:val="22"/>
                <w:szCs w:val="22"/>
              </w:rPr>
              <w:t>±0.36</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2A557AF0">
            <w:pPr>
              <w:widowControl/>
              <w:jc w:val="center"/>
              <w:textAlignment w:val="center"/>
              <w:rPr>
                <w:color w:val="000000"/>
              </w:rPr>
            </w:pPr>
            <w:r>
              <w:rPr>
                <w:color w:val="000000"/>
                <w:kern w:val="0"/>
                <w:sz w:val="22"/>
                <w:szCs w:val="22"/>
              </w:rPr>
              <w:t>5.79</w:t>
            </w:r>
            <w:r>
              <w:rPr>
                <w:rFonts w:hint="eastAsia"/>
                <w:color w:val="000000"/>
                <w:kern w:val="0"/>
                <w:sz w:val="22"/>
                <w:szCs w:val="22"/>
              </w:rPr>
              <w:t>±0.08</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3A095F1">
            <w:pPr>
              <w:widowControl/>
              <w:jc w:val="center"/>
              <w:textAlignment w:val="center"/>
              <w:rPr>
                <w:color w:val="000000"/>
              </w:rPr>
            </w:pPr>
            <w:r>
              <w:rPr>
                <w:color w:val="000000"/>
                <w:kern w:val="0"/>
                <w:sz w:val="22"/>
                <w:szCs w:val="22"/>
              </w:rPr>
              <w:t>8.42</w:t>
            </w:r>
            <w:r>
              <w:rPr>
                <w:rFonts w:hint="eastAsia"/>
                <w:color w:val="000000"/>
                <w:kern w:val="0"/>
                <w:sz w:val="22"/>
                <w:szCs w:val="22"/>
              </w:rPr>
              <w:t>±0.45</w:t>
            </w:r>
            <w:r>
              <w:rPr>
                <w:rFonts w:hint="eastAsia"/>
                <w:color w:val="000000"/>
                <w:kern w:val="0"/>
                <w:sz w:val="22"/>
                <w:szCs w:val="22"/>
                <w:vertAlign w:val="superscript"/>
              </w:rPr>
              <w:t>b</w:t>
            </w:r>
          </w:p>
        </w:tc>
      </w:tr>
      <w:tr w14:paraId="2372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nil"/>
              <w:right w:val="nil"/>
            </w:tcBorders>
            <w:shd w:val="clear" w:color="auto" w:fill="FFFFFF"/>
            <w:vAlign w:val="center"/>
          </w:tcPr>
          <w:p w14:paraId="67FCC208">
            <w:pPr>
              <w:rPr>
                <w:color w:val="000000"/>
              </w:rPr>
            </w:pPr>
          </w:p>
        </w:tc>
        <w:tc>
          <w:tcPr>
            <w:tcW w:w="412" w:type="pct"/>
            <w:vMerge w:val="continue"/>
            <w:tcBorders>
              <w:top w:val="nil"/>
              <w:left w:val="nil"/>
              <w:bottom w:val="nil"/>
              <w:right w:val="nil"/>
            </w:tcBorders>
            <w:shd w:val="clear" w:color="auto" w:fill="FFFFFF"/>
            <w:vAlign w:val="center"/>
          </w:tcPr>
          <w:p w14:paraId="41F02907">
            <w:pPr>
              <w:rPr>
                <w:color w:val="000000"/>
              </w:rPr>
            </w:pPr>
          </w:p>
        </w:tc>
        <w:tc>
          <w:tcPr>
            <w:tcW w:w="554" w:type="pct"/>
            <w:tcBorders>
              <w:top w:val="nil"/>
              <w:left w:val="nil"/>
              <w:bottom w:val="nil"/>
              <w:right w:val="nil"/>
            </w:tcBorders>
            <w:shd w:val="clear" w:color="auto" w:fill="FFFFFF"/>
            <w:vAlign w:val="center"/>
          </w:tcPr>
          <w:p w14:paraId="5E5F5CEE">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0F96498E">
            <w:pPr>
              <w:widowControl/>
              <w:jc w:val="center"/>
              <w:textAlignment w:val="center"/>
              <w:rPr>
                <w:color w:val="000000"/>
              </w:rPr>
            </w:pPr>
            <w:r>
              <w:rPr>
                <w:color w:val="000000"/>
                <w:kern w:val="0"/>
                <w:sz w:val="22"/>
                <w:szCs w:val="22"/>
              </w:rPr>
              <w:t>9.08</w:t>
            </w:r>
            <w:r>
              <w:rPr>
                <w:rFonts w:hint="eastAsia"/>
                <w:color w:val="000000"/>
                <w:kern w:val="0"/>
                <w:sz w:val="22"/>
                <w:szCs w:val="22"/>
              </w:rPr>
              <w:t>±0.06</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2FE69E66">
            <w:pPr>
              <w:widowControl/>
              <w:jc w:val="center"/>
              <w:textAlignment w:val="center"/>
              <w:rPr>
                <w:color w:val="000000"/>
              </w:rPr>
            </w:pPr>
            <w:r>
              <w:rPr>
                <w:color w:val="000000"/>
                <w:kern w:val="0"/>
                <w:sz w:val="22"/>
                <w:szCs w:val="22"/>
              </w:rPr>
              <w:t>7.785</w:t>
            </w:r>
            <w:r>
              <w:rPr>
                <w:rFonts w:hint="eastAsia"/>
                <w:color w:val="000000"/>
                <w:kern w:val="0"/>
                <w:sz w:val="22"/>
                <w:szCs w:val="22"/>
              </w:rPr>
              <w:t>±1.08</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04FFF69F">
            <w:pPr>
              <w:widowControl/>
              <w:jc w:val="center"/>
              <w:textAlignment w:val="center"/>
              <w:rPr>
                <w:color w:val="000000"/>
              </w:rPr>
            </w:pPr>
            <w:r>
              <w:rPr>
                <w:color w:val="000000"/>
                <w:kern w:val="0"/>
                <w:sz w:val="22"/>
                <w:szCs w:val="22"/>
              </w:rPr>
              <w:t>8.105</w:t>
            </w:r>
            <w:r>
              <w:rPr>
                <w:rFonts w:hint="eastAsia"/>
                <w:color w:val="000000"/>
                <w:kern w:val="0"/>
                <w:sz w:val="22"/>
                <w:szCs w:val="22"/>
              </w:rPr>
              <w:t>±0.09</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5B2AFA70">
            <w:pPr>
              <w:widowControl/>
              <w:jc w:val="center"/>
              <w:textAlignment w:val="center"/>
              <w:rPr>
                <w:color w:val="000000"/>
              </w:rPr>
            </w:pPr>
            <w:r>
              <w:rPr>
                <w:color w:val="000000"/>
                <w:kern w:val="0"/>
                <w:sz w:val="22"/>
                <w:szCs w:val="22"/>
              </w:rPr>
              <w:t>10.04</w:t>
            </w:r>
            <w:r>
              <w:rPr>
                <w:rFonts w:hint="eastAsia"/>
                <w:color w:val="000000"/>
                <w:kern w:val="0"/>
                <w:sz w:val="22"/>
                <w:szCs w:val="22"/>
              </w:rPr>
              <w:t>±1.22</w:t>
            </w:r>
            <w:r>
              <w:rPr>
                <w:rFonts w:hint="eastAsia"/>
                <w:color w:val="000000"/>
                <w:kern w:val="0"/>
                <w:sz w:val="22"/>
                <w:szCs w:val="22"/>
                <w:vertAlign w:val="superscript"/>
              </w:rPr>
              <w:t>a</w:t>
            </w:r>
          </w:p>
        </w:tc>
      </w:tr>
      <w:tr w14:paraId="5E7C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 w:type="pct"/>
            <w:vMerge w:val="continue"/>
            <w:tcBorders>
              <w:top w:val="nil"/>
              <w:left w:val="nil"/>
              <w:bottom w:val="single" w:color="auto" w:sz="4" w:space="0"/>
              <w:right w:val="nil"/>
            </w:tcBorders>
            <w:shd w:val="clear" w:color="auto" w:fill="FFFFFF"/>
            <w:vAlign w:val="center"/>
          </w:tcPr>
          <w:p w14:paraId="4076C505">
            <w:pPr>
              <w:rPr>
                <w:color w:val="000000"/>
              </w:rPr>
            </w:pPr>
          </w:p>
        </w:tc>
        <w:tc>
          <w:tcPr>
            <w:tcW w:w="412" w:type="pct"/>
            <w:vMerge w:val="continue"/>
            <w:tcBorders>
              <w:top w:val="nil"/>
              <w:left w:val="nil"/>
              <w:bottom w:val="single" w:color="auto" w:sz="4" w:space="0"/>
              <w:right w:val="nil"/>
            </w:tcBorders>
            <w:shd w:val="clear" w:color="auto" w:fill="FFFFFF"/>
            <w:vAlign w:val="center"/>
          </w:tcPr>
          <w:p w14:paraId="373F3C35">
            <w:pPr>
              <w:rPr>
                <w:color w:val="000000"/>
              </w:rPr>
            </w:pPr>
          </w:p>
        </w:tc>
        <w:tc>
          <w:tcPr>
            <w:tcW w:w="554" w:type="pct"/>
            <w:tcBorders>
              <w:top w:val="nil"/>
              <w:left w:val="nil"/>
              <w:bottom w:val="single" w:color="auto" w:sz="4" w:space="0"/>
              <w:right w:val="nil"/>
            </w:tcBorders>
            <w:shd w:val="clear" w:color="auto" w:fill="FFFFFF"/>
            <w:vAlign w:val="center"/>
          </w:tcPr>
          <w:p w14:paraId="30B9D347">
            <w:pPr>
              <w:jc w:val="center"/>
              <w:rPr>
                <w:color w:val="000000"/>
              </w:rPr>
            </w:pPr>
            <w:r>
              <w:rPr>
                <w:rFonts w:hint="eastAsia"/>
                <w:color w:val="000000"/>
              </w:rPr>
              <w:t>16</w:t>
            </w:r>
          </w:p>
        </w:tc>
        <w:tc>
          <w:tcPr>
            <w:tcW w:w="948" w:type="pct"/>
            <w:tcBorders>
              <w:top w:val="nil"/>
              <w:left w:val="nil"/>
              <w:bottom w:val="single" w:color="auto" w:sz="4" w:space="0"/>
              <w:right w:val="nil"/>
            </w:tcBorders>
            <w:shd w:val="clear" w:color="auto" w:fill="FFFFFF"/>
            <w:vAlign w:val="center"/>
          </w:tcPr>
          <w:p w14:paraId="1736D064">
            <w:pPr>
              <w:widowControl/>
              <w:jc w:val="center"/>
              <w:textAlignment w:val="center"/>
              <w:rPr>
                <w:color w:val="000000"/>
              </w:rPr>
            </w:pPr>
            <w:r>
              <w:rPr>
                <w:color w:val="000000"/>
                <w:kern w:val="0"/>
                <w:sz w:val="22"/>
                <w:szCs w:val="22"/>
              </w:rPr>
              <w:t>10.235</w:t>
            </w:r>
            <w:r>
              <w:rPr>
                <w:rFonts w:hint="eastAsia"/>
                <w:color w:val="000000"/>
                <w:kern w:val="0"/>
                <w:sz w:val="22"/>
                <w:szCs w:val="22"/>
              </w:rPr>
              <w:t>±0.80</w:t>
            </w:r>
            <w:r>
              <w:rPr>
                <w:rFonts w:hint="eastAsia"/>
                <w:color w:val="000000"/>
                <w:kern w:val="0"/>
                <w:sz w:val="22"/>
                <w:szCs w:val="22"/>
                <w:vertAlign w:val="superscript"/>
              </w:rPr>
              <w:t>a</w:t>
            </w:r>
          </w:p>
        </w:tc>
        <w:tc>
          <w:tcPr>
            <w:tcW w:w="865" w:type="pct"/>
            <w:tcBorders>
              <w:top w:val="nil"/>
              <w:left w:val="nil"/>
              <w:bottom w:val="single" w:color="auto" w:sz="4" w:space="0"/>
              <w:right w:val="nil"/>
            </w:tcBorders>
            <w:shd w:val="clear" w:color="auto" w:fill="FFFFFF"/>
            <w:vAlign w:val="center"/>
          </w:tcPr>
          <w:p w14:paraId="17756B0A">
            <w:pPr>
              <w:widowControl/>
              <w:jc w:val="center"/>
              <w:textAlignment w:val="center"/>
              <w:rPr>
                <w:color w:val="000000"/>
              </w:rPr>
            </w:pPr>
            <w:r>
              <w:rPr>
                <w:color w:val="000000"/>
                <w:kern w:val="0"/>
                <w:sz w:val="22"/>
                <w:szCs w:val="22"/>
              </w:rPr>
              <w:t>9.205</w:t>
            </w:r>
            <w:r>
              <w:rPr>
                <w:rFonts w:hint="eastAsia"/>
                <w:color w:val="000000"/>
                <w:kern w:val="0"/>
                <w:sz w:val="22"/>
                <w:szCs w:val="22"/>
              </w:rPr>
              <w:t>±0.40</w:t>
            </w:r>
            <w:r>
              <w:rPr>
                <w:rFonts w:hint="eastAsia"/>
                <w:color w:val="000000"/>
                <w:kern w:val="0"/>
                <w:sz w:val="22"/>
                <w:szCs w:val="22"/>
                <w:vertAlign w:val="superscript"/>
              </w:rPr>
              <w:t>a</w:t>
            </w:r>
          </w:p>
        </w:tc>
        <w:tc>
          <w:tcPr>
            <w:tcW w:w="903" w:type="pct"/>
            <w:tcBorders>
              <w:top w:val="nil"/>
              <w:left w:val="nil"/>
              <w:bottom w:val="single" w:color="auto" w:sz="4" w:space="0"/>
              <w:right w:val="nil"/>
            </w:tcBorders>
            <w:shd w:val="clear" w:color="auto" w:fill="FFFFFF"/>
            <w:vAlign w:val="center"/>
          </w:tcPr>
          <w:p w14:paraId="40187526">
            <w:pPr>
              <w:widowControl/>
              <w:jc w:val="center"/>
              <w:textAlignment w:val="center"/>
              <w:rPr>
                <w:bCs/>
                <w:color w:val="000000"/>
              </w:rPr>
            </w:pPr>
            <w:r>
              <w:rPr>
                <w:color w:val="000000"/>
                <w:kern w:val="0"/>
                <w:sz w:val="22"/>
                <w:szCs w:val="22"/>
              </w:rPr>
              <w:t>8.955</w:t>
            </w:r>
            <w:r>
              <w:rPr>
                <w:rFonts w:hint="eastAsia"/>
                <w:color w:val="000000"/>
                <w:kern w:val="0"/>
                <w:sz w:val="22"/>
                <w:szCs w:val="22"/>
              </w:rPr>
              <w:t>±1.27</w:t>
            </w:r>
            <w:r>
              <w:rPr>
                <w:rFonts w:hint="eastAsia"/>
                <w:color w:val="000000"/>
                <w:kern w:val="0"/>
                <w:sz w:val="22"/>
                <w:szCs w:val="22"/>
                <w:vertAlign w:val="superscript"/>
              </w:rPr>
              <w:t>a</w:t>
            </w:r>
          </w:p>
        </w:tc>
        <w:tc>
          <w:tcPr>
            <w:tcW w:w="903" w:type="pct"/>
            <w:tcBorders>
              <w:top w:val="nil"/>
              <w:left w:val="nil"/>
              <w:bottom w:val="single" w:color="auto" w:sz="4" w:space="0"/>
              <w:right w:val="nil"/>
            </w:tcBorders>
            <w:shd w:val="clear" w:color="auto" w:fill="FFFFFF"/>
            <w:vAlign w:val="center"/>
          </w:tcPr>
          <w:p w14:paraId="07A3455E">
            <w:pPr>
              <w:widowControl/>
              <w:jc w:val="center"/>
              <w:textAlignment w:val="center"/>
              <w:rPr>
                <w:color w:val="000000"/>
              </w:rPr>
            </w:pPr>
            <w:r>
              <w:rPr>
                <w:color w:val="000000"/>
                <w:kern w:val="0"/>
                <w:sz w:val="22"/>
                <w:szCs w:val="22"/>
              </w:rPr>
              <w:t>10.025</w:t>
            </w:r>
            <w:r>
              <w:rPr>
                <w:rFonts w:hint="eastAsia"/>
                <w:color w:val="000000"/>
                <w:kern w:val="0"/>
                <w:sz w:val="22"/>
                <w:szCs w:val="22"/>
              </w:rPr>
              <w:t>±1.65</w:t>
            </w:r>
            <w:r>
              <w:rPr>
                <w:rFonts w:hint="eastAsia"/>
                <w:color w:val="000000"/>
                <w:kern w:val="0"/>
                <w:sz w:val="22"/>
                <w:szCs w:val="22"/>
                <w:vertAlign w:val="superscript"/>
              </w:rPr>
              <w:t>a</w:t>
            </w:r>
          </w:p>
        </w:tc>
      </w:tr>
    </w:tbl>
    <w:p w14:paraId="1404AFD2">
      <w:pPr>
        <w:jc w:val="center"/>
        <w:rPr>
          <w:sz w:val="24"/>
        </w:rPr>
      </w:pPr>
      <w:r>
        <w:rPr>
          <w:rFonts w:hint="eastAsia"/>
          <w:sz w:val="24"/>
          <w:szCs w:val="21"/>
        </w:rPr>
        <w:t>续表6 不同处理对五指毛桃露酒色度值的影响</w:t>
      </w:r>
    </w:p>
    <w:tbl>
      <w:tblPr>
        <w:tblStyle w:val="1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02"/>
        <w:gridCol w:w="945"/>
        <w:gridCol w:w="1617"/>
        <w:gridCol w:w="1475"/>
        <w:gridCol w:w="1540"/>
        <w:gridCol w:w="1540"/>
      </w:tblGrid>
      <w:tr w14:paraId="382CA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tcBorders>
              <w:top w:val="single" w:color="auto" w:sz="4" w:space="0"/>
              <w:left w:val="nil"/>
              <w:right w:val="nil"/>
            </w:tcBorders>
            <w:shd w:val="clear" w:color="auto" w:fill="FFFFFF"/>
            <w:vAlign w:val="center"/>
          </w:tcPr>
          <w:p w14:paraId="3C3B757C">
            <w:pPr>
              <w:jc w:val="center"/>
              <w:rPr>
                <w:color w:val="000000"/>
              </w:rPr>
            </w:pPr>
            <w:r>
              <w:rPr>
                <w:rFonts w:hint="eastAsia"/>
                <w:color w:val="000000"/>
              </w:rPr>
              <w:t>色差</w:t>
            </w:r>
          </w:p>
        </w:tc>
        <w:tc>
          <w:tcPr>
            <w:tcW w:w="412" w:type="pct"/>
            <w:tcBorders>
              <w:top w:val="single" w:color="auto" w:sz="4" w:space="0"/>
              <w:left w:val="nil"/>
              <w:bottom w:val="nil"/>
              <w:right w:val="nil"/>
            </w:tcBorders>
            <w:shd w:val="clear" w:color="auto" w:fill="FFFFFF"/>
            <w:vAlign w:val="center"/>
          </w:tcPr>
          <w:p w14:paraId="0D95C54D">
            <w:pPr>
              <w:spacing w:line="360" w:lineRule="auto"/>
              <w:jc w:val="center"/>
              <w:rPr>
                <w:color w:val="000000"/>
              </w:rPr>
            </w:pPr>
            <w:r>
              <w:rPr>
                <w:rFonts w:hint="eastAsia"/>
                <w:color w:val="000000"/>
              </w:rPr>
              <w:t>时间</w:t>
            </w:r>
          </w:p>
        </w:tc>
        <w:tc>
          <w:tcPr>
            <w:tcW w:w="554" w:type="pct"/>
            <w:tcBorders>
              <w:top w:val="single" w:color="auto" w:sz="4" w:space="0"/>
              <w:left w:val="nil"/>
              <w:bottom w:val="nil"/>
              <w:right w:val="nil"/>
            </w:tcBorders>
            <w:shd w:val="clear" w:color="auto" w:fill="FFFFFF"/>
            <w:vAlign w:val="center"/>
          </w:tcPr>
          <w:p w14:paraId="054B856A">
            <w:pPr>
              <w:spacing w:line="360" w:lineRule="auto"/>
              <w:jc w:val="center"/>
              <w:rPr>
                <w:color w:val="000000"/>
              </w:rPr>
            </w:pPr>
            <w:r>
              <w:rPr>
                <w:rFonts w:hint="eastAsia"/>
                <w:color w:val="000000"/>
              </w:rPr>
              <w:t>添加量</w:t>
            </w:r>
          </w:p>
        </w:tc>
        <w:tc>
          <w:tcPr>
            <w:tcW w:w="948" w:type="pct"/>
            <w:tcBorders>
              <w:top w:val="single" w:color="auto" w:sz="4" w:space="0"/>
              <w:left w:val="nil"/>
              <w:bottom w:val="nil"/>
              <w:right w:val="nil"/>
            </w:tcBorders>
            <w:shd w:val="clear" w:color="auto" w:fill="FFFFFF"/>
            <w:vAlign w:val="center"/>
          </w:tcPr>
          <w:p w14:paraId="69878FBE">
            <w:pPr>
              <w:jc w:val="center"/>
              <w:rPr>
                <w:color w:val="000000"/>
              </w:rPr>
            </w:pPr>
            <w:r>
              <w:rPr>
                <w:rFonts w:hint="eastAsia"/>
                <w:color w:val="000000"/>
              </w:rPr>
              <w:t>40℃</w:t>
            </w:r>
          </w:p>
        </w:tc>
        <w:tc>
          <w:tcPr>
            <w:tcW w:w="865" w:type="pct"/>
            <w:tcBorders>
              <w:top w:val="single" w:color="auto" w:sz="4" w:space="0"/>
              <w:left w:val="nil"/>
              <w:bottom w:val="nil"/>
              <w:right w:val="nil"/>
            </w:tcBorders>
            <w:shd w:val="clear" w:color="auto" w:fill="FFFFFF"/>
            <w:vAlign w:val="center"/>
          </w:tcPr>
          <w:p w14:paraId="22644389">
            <w:pPr>
              <w:jc w:val="center"/>
              <w:rPr>
                <w:color w:val="000000"/>
              </w:rPr>
            </w:pPr>
            <w:r>
              <w:rPr>
                <w:rFonts w:hint="eastAsia"/>
                <w:color w:val="000000"/>
              </w:rPr>
              <w:t>50℃</w:t>
            </w:r>
          </w:p>
        </w:tc>
        <w:tc>
          <w:tcPr>
            <w:tcW w:w="903" w:type="pct"/>
            <w:tcBorders>
              <w:top w:val="single" w:color="auto" w:sz="4" w:space="0"/>
              <w:left w:val="nil"/>
              <w:bottom w:val="nil"/>
              <w:right w:val="nil"/>
            </w:tcBorders>
            <w:shd w:val="clear" w:color="auto" w:fill="FFFFFF"/>
            <w:vAlign w:val="center"/>
          </w:tcPr>
          <w:p w14:paraId="24725CA3">
            <w:pPr>
              <w:jc w:val="center"/>
              <w:rPr>
                <w:color w:val="000000"/>
              </w:rPr>
            </w:pPr>
            <w:r>
              <w:rPr>
                <w:rFonts w:hint="eastAsia"/>
                <w:color w:val="000000"/>
              </w:rPr>
              <w:t>60℃</w:t>
            </w:r>
          </w:p>
        </w:tc>
        <w:tc>
          <w:tcPr>
            <w:tcW w:w="903" w:type="pct"/>
            <w:tcBorders>
              <w:top w:val="single" w:color="auto" w:sz="4" w:space="0"/>
              <w:left w:val="nil"/>
              <w:bottom w:val="nil"/>
              <w:right w:val="nil"/>
            </w:tcBorders>
            <w:shd w:val="clear" w:color="auto" w:fill="FFFFFF"/>
            <w:vAlign w:val="center"/>
          </w:tcPr>
          <w:p w14:paraId="4055EC6B">
            <w:pPr>
              <w:jc w:val="center"/>
              <w:rPr>
                <w:color w:val="000000"/>
              </w:rPr>
            </w:pPr>
            <w:r>
              <w:rPr>
                <w:rFonts w:hint="eastAsia"/>
                <w:color w:val="000000"/>
              </w:rPr>
              <w:t>70℃</w:t>
            </w:r>
          </w:p>
        </w:tc>
      </w:tr>
      <w:tr w14:paraId="27E56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restart"/>
            <w:tcBorders>
              <w:top w:val="single" w:color="auto" w:sz="4" w:space="0"/>
              <w:left w:val="nil"/>
              <w:right w:val="nil"/>
            </w:tcBorders>
            <w:shd w:val="clear" w:color="auto" w:fill="FFFFFF"/>
            <w:vAlign w:val="center"/>
          </w:tcPr>
          <w:p w14:paraId="61A6DDF2">
            <w:pPr>
              <w:rPr>
                <w:color w:val="000000"/>
              </w:rPr>
            </w:pPr>
          </w:p>
        </w:tc>
        <w:tc>
          <w:tcPr>
            <w:tcW w:w="412" w:type="pct"/>
            <w:vMerge w:val="restart"/>
            <w:tcBorders>
              <w:top w:val="single" w:color="auto" w:sz="4" w:space="0"/>
              <w:left w:val="nil"/>
              <w:bottom w:val="nil"/>
              <w:right w:val="nil"/>
            </w:tcBorders>
            <w:shd w:val="clear" w:color="auto" w:fill="FFFFFF"/>
            <w:vAlign w:val="center"/>
          </w:tcPr>
          <w:p w14:paraId="192E2756">
            <w:pPr>
              <w:jc w:val="center"/>
              <w:rPr>
                <w:color w:val="000000"/>
              </w:rPr>
            </w:pPr>
            <w:r>
              <w:rPr>
                <w:rFonts w:hint="eastAsia"/>
                <w:color w:val="000000"/>
              </w:rPr>
              <w:t>30d</w:t>
            </w:r>
          </w:p>
        </w:tc>
        <w:tc>
          <w:tcPr>
            <w:tcW w:w="554" w:type="pct"/>
            <w:tcBorders>
              <w:top w:val="single" w:color="auto" w:sz="4" w:space="0"/>
              <w:left w:val="nil"/>
              <w:bottom w:val="nil"/>
              <w:right w:val="nil"/>
            </w:tcBorders>
            <w:shd w:val="clear" w:color="auto" w:fill="FFFFFF"/>
            <w:vAlign w:val="center"/>
          </w:tcPr>
          <w:p w14:paraId="7A97FBBA">
            <w:pPr>
              <w:spacing w:line="360" w:lineRule="auto"/>
              <w:jc w:val="center"/>
              <w:rPr>
                <w:color w:val="000000"/>
              </w:rPr>
            </w:pPr>
            <w:r>
              <w:rPr>
                <w:rFonts w:hint="eastAsia"/>
                <w:color w:val="000000"/>
              </w:rPr>
              <w:t>4</w:t>
            </w:r>
          </w:p>
        </w:tc>
        <w:tc>
          <w:tcPr>
            <w:tcW w:w="948" w:type="pct"/>
            <w:tcBorders>
              <w:top w:val="single" w:color="auto" w:sz="4" w:space="0"/>
              <w:left w:val="nil"/>
              <w:bottom w:val="nil"/>
              <w:right w:val="nil"/>
            </w:tcBorders>
            <w:shd w:val="clear" w:color="auto" w:fill="FFFFFF"/>
            <w:vAlign w:val="center"/>
          </w:tcPr>
          <w:p w14:paraId="61E8E53C">
            <w:pPr>
              <w:widowControl/>
              <w:jc w:val="center"/>
              <w:textAlignment w:val="center"/>
              <w:rPr>
                <w:color w:val="000000"/>
              </w:rPr>
            </w:pPr>
            <w:r>
              <w:rPr>
                <w:color w:val="000000"/>
                <w:kern w:val="0"/>
                <w:sz w:val="22"/>
                <w:szCs w:val="22"/>
              </w:rPr>
              <w:t>4.915</w:t>
            </w:r>
            <w:r>
              <w:rPr>
                <w:rFonts w:hint="eastAsia"/>
                <w:color w:val="000000"/>
                <w:kern w:val="0"/>
                <w:sz w:val="22"/>
                <w:szCs w:val="22"/>
              </w:rPr>
              <w:t>±0.39</w:t>
            </w:r>
            <w:r>
              <w:rPr>
                <w:rFonts w:hint="eastAsia"/>
                <w:color w:val="000000"/>
                <w:kern w:val="0"/>
                <w:sz w:val="22"/>
                <w:szCs w:val="22"/>
                <w:vertAlign w:val="superscript"/>
              </w:rPr>
              <w:t>a</w:t>
            </w:r>
          </w:p>
        </w:tc>
        <w:tc>
          <w:tcPr>
            <w:tcW w:w="865" w:type="pct"/>
            <w:tcBorders>
              <w:top w:val="single" w:color="auto" w:sz="4" w:space="0"/>
              <w:left w:val="nil"/>
              <w:bottom w:val="nil"/>
              <w:right w:val="nil"/>
            </w:tcBorders>
            <w:shd w:val="clear" w:color="auto" w:fill="FFFFFF"/>
            <w:vAlign w:val="center"/>
          </w:tcPr>
          <w:p w14:paraId="40E9133A">
            <w:pPr>
              <w:widowControl/>
              <w:jc w:val="center"/>
              <w:textAlignment w:val="center"/>
              <w:rPr>
                <w:color w:val="000000"/>
              </w:rPr>
            </w:pPr>
            <w:r>
              <w:rPr>
                <w:color w:val="000000"/>
                <w:kern w:val="0"/>
                <w:sz w:val="22"/>
                <w:szCs w:val="22"/>
              </w:rPr>
              <w:t>3.25</w:t>
            </w:r>
            <w:r>
              <w:rPr>
                <w:rFonts w:hint="eastAsia"/>
                <w:color w:val="000000"/>
                <w:kern w:val="0"/>
                <w:sz w:val="22"/>
                <w:szCs w:val="22"/>
              </w:rPr>
              <w:t>±0.35</w:t>
            </w:r>
            <w:r>
              <w:rPr>
                <w:rFonts w:hint="eastAsia"/>
                <w:color w:val="000000"/>
                <w:kern w:val="0"/>
                <w:sz w:val="22"/>
                <w:szCs w:val="22"/>
                <w:vertAlign w:val="superscript"/>
              </w:rPr>
              <w:t>b</w:t>
            </w:r>
          </w:p>
        </w:tc>
        <w:tc>
          <w:tcPr>
            <w:tcW w:w="903" w:type="pct"/>
            <w:tcBorders>
              <w:top w:val="single" w:color="auto" w:sz="4" w:space="0"/>
              <w:left w:val="nil"/>
              <w:bottom w:val="nil"/>
              <w:right w:val="nil"/>
            </w:tcBorders>
            <w:shd w:val="clear" w:color="auto" w:fill="FFFFFF"/>
            <w:vAlign w:val="center"/>
          </w:tcPr>
          <w:p w14:paraId="3701D919">
            <w:pPr>
              <w:widowControl/>
              <w:jc w:val="center"/>
              <w:textAlignment w:val="center"/>
              <w:rPr>
                <w:color w:val="000000"/>
              </w:rPr>
            </w:pPr>
            <w:r>
              <w:rPr>
                <w:color w:val="000000"/>
                <w:kern w:val="0"/>
                <w:sz w:val="22"/>
                <w:szCs w:val="22"/>
              </w:rPr>
              <w:t>3.145</w:t>
            </w:r>
            <w:r>
              <w:rPr>
                <w:rFonts w:hint="eastAsia"/>
                <w:color w:val="000000"/>
                <w:kern w:val="0"/>
                <w:sz w:val="22"/>
                <w:szCs w:val="22"/>
              </w:rPr>
              <w:t>±0.80</w:t>
            </w:r>
            <w:r>
              <w:rPr>
                <w:rFonts w:hint="eastAsia"/>
                <w:color w:val="000000"/>
                <w:kern w:val="0"/>
                <w:sz w:val="22"/>
                <w:szCs w:val="22"/>
                <w:vertAlign w:val="superscript"/>
              </w:rPr>
              <w:t>b</w:t>
            </w:r>
          </w:p>
        </w:tc>
        <w:tc>
          <w:tcPr>
            <w:tcW w:w="903" w:type="pct"/>
            <w:tcBorders>
              <w:top w:val="single" w:color="auto" w:sz="4" w:space="0"/>
              <w:left w:val="nil"/>
              <w:bottom w:val="nil"/>
              <w:right w:val="nil"/>
            </w:tcBorders>
            <w:shd w:val="clear" w:color="auto" w:fill="FFFFFF"/>
            <w:vAlign w:val="center"/>
          </w:tcPr>
          <w:p w14:paraId="73999B43">
            <w:pPr>
              <w:widowControl/>
              <w:jc w:val="center"/>
              <w:textAlignment w:val="center"/>
              <w:rPr>
                <w:color w:val="000000"/>
              </w:rPr>
            </w:pPr>
            <w:r>
              <w:rPr>
                <w:color w:val="000000"/>
                <w:kern w:val="0"/>
                <w:sz w:val="22"/>
                <w:szCs w:val="22"/>
              </w:rPr>
              <w:t>3.53</w:t>
            </w:r>
            <w:r>
              <w:rPr>
                <w:rFonts w:hint="eastAsia"/>
                <w:color w:val="000000"/>
                <w:kern w:val="0"/>
                <w:sz w:val="22"/>
                <w:szCs w:val="22"/>
              </w:rPr>
              <w:t>±0.20</w:t>
            </w:r>
            <w:r>
              <w:rPr>
                <w:rFonts w:hint="eastAsia"/>
                <w:color w:val="000000"/>
                <w:kern w:val="0"/>
                <w:sz w:val="22"/>
                <w:szCs w:val="22"/>
                <w:vertAlign w:val="superscript"/>
              </w:rPr>
              <w:t>b</w:t>
            </w:r>
          </w:p>
        </w:tc>
      </w:tr>
      <w:tr w14:paraId="0C9D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140CA4B9">
            <w:pPr>
              <w:rPr>
                <w:color w:val="000000"/>
              </w:rPr>
            </w:pPr>
          </w:p>
        </w:tc>
        <w:tc>
          <w:tcPr>
            <w:tcW w:w="412" w:type="pct"/>
            <w:vMerge w:val="continue"/>
            <w:tcBorders>
              <w:top w:val="nil"/>
              <w:left w:val="nil"/>
              <w:bottom w:val="nil"/>
              <w:right w:val="nil"/>
            </w:tcBorders>
            <w:shd w:val="clear" w:color="auto" w:fill="FFFFFF"/>
            <w:vAlign w:val="center"/>
          </w:tcPr>
          <w:p w14:paraId="0EF68A1E">
            <w:pPr>
              <w:rPr>
                <w:color w:val="000000"/>
              </w:rPr>
            </w:pPr>
          </w:p>
        </w:tc>
        <w:tc>
          <w:tcPr>
            <w:tcW w:w="554" w:type="pct"/>
            <w:tcBorders>
              <w:top w:val="nil"/>
              <w:left w:val="nil"/>
              <w:bottom w:val="nil"/>
              <w:right w:val="nil"/>
            </w:tcBorders>
            <w:shd w:val="clear" w:color="auto" w:fill="FFFFFF"/>
            <w:vAlign w:val="center"/>
          </w:tcPr>
          <w:p w14:paraId="22B28EA3">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79BC516D">
            <w:pPr>
              <w:widowControl/>
              <w:jc w:val="center"/>
              <w:textAlignment w:val="center"/>
              <w:rPr>
                <w:color w:val="000000"/>
              </w:rPr>
            </w:pPr>
            <w:r>
              <w:rPr>
                <w:color w:val="000000"/>
                <w:kern w:val="0"/>
                <w:sz w:val="22"/>
                <w:szCs w:val="22"/>
              </w:rPr>
              <w:t>7.425</w:t>
            </w:r>
            <w:r>
              <w:rPr>
                <w:rFonts w:hint="eastAsia"/>
                <w:color w:val="000000"/>
                <w:kern w:val="0"/>
                <w:sz w:val="22"/>
                <w:szCs w:val="22"/>
              </w:rPr>
              <w:t>±0.11</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768DF110">
            <w:pPr>
              <w:widowControl/>
              <w:jc w:val="center"/>
              <w:textAlignment w:val="center"/>
              <w:rPr>
                <w:color w:val="000000"/>
              </w:rPr>
            </w:pPr>
            <w:r>
              <w:rPr>
                <w:color w:val="000000"/>
                <w:kern w:val="0"/>
                <w:sz w:val="22"/>
                <w:szCs w:val="22"/>
              </w:rPr>
              <w:t>6.275</w:t>
            </w:r>
            <w:r>
              <w:rPr>
                <w:rFonts w:hint="eastAsia"/>
                <w:color w:val="000000"/>
                <w:kern w:val="0"/>
                <w:sz w:val="22"/>
                <w:szCs w:val="22"/>
              </w:rPr>
              <w:t>±0.29</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6DC4B0F">
            <w:pPr>
              <w:widowControl/>
              <w:jc w:val="center"/>
              <w:textAlignment w:val="center"/>
              <w:rPr>
                <w:color w:val="000000"/>
              </w:rPr>
            </w:pPr>
            <w:r>
              <w:rPr>
                <w:color w:val="000000"/>
                <w:kern w:val="0"/>
                <w:sz w:val="22"/>
                <w:szCs w:val="22"/>
              </w:rPr>
              <w:t>5.73</w:t>
            </w:r>
            <w:r>
              <w:rPr>
                <w:rFonts w:hint="eastAsia"/>
                <w:color w:val="000000"/>
                <w:kern w:val="0"/>
                <w:sz w:val="22"/>
                <w:szCs w:val="22"/>
              </w:rPr>
              <w:t>±0.25</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170B0CD5">
            <w:pPr>
              <w:widowControl/>
              <w:jc w:val="center"/>
              <w:textAlignment w:val="center"/>
              <w:rPr>
                <w:color w:val="000000"/>
              </w:rPr>
            </w:pPr>
            <w:r>
              <w:rPr>
                <w:color w:val="000000"/>
                <w:kern w:val="0"/>
                <w:sz w:val="22"/>
                <w:szCs w:val="22"/>
              </w:rPr>
              <w:t>7.645</w:t>
            </w:r>
            <w:r>
              <w:rPr>
                <w:rFonts w:hint="eastAsia"/>
                <w:color w:val="000000"/>
                <w:kern w:val="0"/>
                <w:sz w:val="22"/>
                <w:szCs w:val="22"/>
              </w:rPr>
              <w:t>±0.64</w:t>
            </w:r>
            <w:r>
              <w:rPr>
                <w:rFonts w:hint="eastAsia"/>
                <w:color w:val="000000"/>
                <w:kern w:val="0"/>
                <w:sz w:val="22"/>
                <w:szCs w:val="22"/>
                <w:vertAlign w:val="superscript"/>
              </w:rPr>
              <w:t>a</w:t>
            </w:r>
          </w:p>
        </w:tc>
      </w:tr>
      <w:tr w14:paraId="42D75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75D66147">
            <w:pPr>
              <w:rPr>
                <w:color w:val="000000"/>
              </w:rPr>
            </w:pPr>
          </w:p>
        </w:tc>
        <w:tc>
          <w:tcPr>
            <w:tcW w:w="412" w:type="pct"/>
            <w:vMerge w:val="continue"/>
            <w:tcBorders>
              <w:top w:val="nil"/>
              <w:left w:val="nil"/>
              <w:bottom w:val="nil"/>
              <w:right w:val="nil"/>
            </w:tcBorders>
            <w:shd w:val="clear" w:color="auto" w:fill="FFFFFF"/>
            <w:vAlign w:val="center"/>
          </w:tcPr>
          <w:p w14:paraId="63352BAF">
            <w:pPr>
              <w:rPr>
                <w:color w:val="000000"/>
              </w:rPr>
            </w:pPr>
          </w:p>
        </w:tc>
        <w:tc>
          <w:tcPr>
            <w:tcW w:w="554" w:type="pct"/>
            <w:tcBorders>
              <w:top w:val="nil"/>
              <w:left w:val="nil"/>
              <w:bottom w:val="nil"/>
              <w:right w:val="nil"/>
            </w:tcBorders>
            <w:shd w:val="clear" w:color="auto" w:fill="FFFFFF"/>
            <w:vAlign w:val="center"/>
          </w:tcPr>
          <w:p w14:paraId="070CF211">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5F95892D">
            <w:pPr>
              <w:widowControl/>
              <w:jc w:val="center"/>
              <w:textAlignment w:val="center"/>
              <w:rPr>
                <w:color w:val="000000"/>
              </w:rPr>
            </w:pPr>
            <w:r>
              <w:rPr>
                <w:color w:val="000000"/>
                <w:kern w:val="0"/>
                <w:sz w:val="22"/>
                <w:szCs w:val="22"/>
              </w:rPr>
              <w:t>7.35</w:t>
            </w:r>
            <w:r>
              <w:rPr>
                <w:rFonts w:hint="eastAsia"/>
                <w:color w:val="000000"/>
                <w:kern w:val="0"/>
                <w:sz w:val="22"/>
                <w:szCs w:val="22"/>
              </w:rPr>
              <w:t>±0.52</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3F0DAB56">
            <w:pPr>
              <w:widowControl/>
              <w:jc w:val="center"/>
              <w:textAlignment w:val="center"/>
              <w:rPr>
                <w:color w:val="000000"/>
              </w:rPr>
            </w:pPr>
            <w:r>
              <w:rPr>
                <w:color w:val="000000"/>
                <w:kern w:val="0"/>
                <w:sz w:val="22"/>
                <w:szCs w:val="22"/>
              </w:rPr>
              <w:t>7.015</w:t>
            </w:r>
            <w:r>
              <w:rPr>
                <w:rFonts w:hint="eastAsia"/>
                <w:color w:val="000000"/>
                <w:kern w:val="0"/>
                <w:sz w:val="22"/>
                <w:szCs w:val="22"/>
              </w:rPr>
              <w:t>±0.32</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2B073112">
            <w:pPr>
              <w:widowControl/>
              <w:jc w:val="center"/>
              <w:textAlignment w:val="center"/>
              <w:rPr>
                <w:color w:val="000000"/>
              </w:rPr>
            </w:pPr>
            <w:r>
              <w:rPr>
                <w:color w:val="000000"/>
                <w:kern w:val="0"/>
                <w:sz w:val="22"/>
                <w:szCs w:val="22"/>
              </w:rPr>
              <w:t>7.275</w:t>
            </w:r>
            <w:r>
              <w:rPr>
                <w:rFonts w:hint="eastAsia"/>
                <w:color w:val="000000"/>
                <w:kern w:val="0"/>
                <w:sz w:val="22"/>
                <w:szCs w:val="22"/>
              </w:rPr>
              <w:t>±0.25</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9D9FE71">
            <w:pPr>
              <w:widowControl/>
              <w:jc w:val="center"/>
              <w:textAlignment w:val="center"/>
              <w:rPr>
                <w:color w:val="000000"/>
              </w:rPr>
            </w:pPr>
            <w:r>
              <w:rPr>
                <w:color w:val="000000"/>
                <w:kern w:val="0"/>
                <w:sz w:val="22"/>
                <w:szCs w:val="22"/>
              </w:rPr>
              <w:t>8.135</w:t>
            </w:r>
            <w:r>
              <w:rPr>
                <w:rFonts w:hint="eastAsia"/>
                <w:color w:val="000000"/>
                <w:kern w:val="0"/>
                <w:sz w:val="22"/>
                <w:szCs w:val="22"/>
              </w:rPr>
              <w:t>±0.56</w:t>
            </w:r>
            <w:r>
              <w:rPr>
                <w:rFonts w:hint="eastAsia"/>
                <w:color w:val="000000"/>
                <w:kern w:val="0"/>
                <w:sz w:val="22"/>
                <w:szCs w:val="22"/>
                <w:vertAlign w:val="superscript"/>
              </w:rPr>
              <w:t>a</w:t>
            </w:r>
          </w:p>
        </w:tc>
      </w:tr>
      <w:tr w14:paraId="081F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02E9C484">
            <w:pPr>
              <w:rPr>
                <w:color w:val="000000"/>
              </w:rPr>
            </w:pPr>
          </w:p>
        </w:tc>
        <w:tc>
          <w:tcPr>
            <w:tcW w:w="412" w:type="pct"/>
            <w:vMerge w:val="continue"/>
            <w:tcBorders>
              <w:top w:val="nil"/>
              <w:left w:val="nil"/>
              <w:bottom w:val="nil"/>
              <w:right w:val="nil"/>
            </w:tcBorders>
            <w:shd w:val="clear" w:color="auto" w:fill="FFFFFF"/>
            <w:vAlign w:val="center"/>
          </w:tcPr>
          <w:p w14:paraId="50ABF8C4">
            <w:pPr>
              <w:rPr>
                <w:color w:val="000000"/>
              </w:rPr>
            </w:pPr>
          </w:p>
        </w:tc>
        <w:tc>
          <w:tcPr>
            <w:tcW w:w="554" w:type="pct"/>
            <w:tcBorders>
              <w:top w:val="nil"/>
              <w:left w:val="nil"/>
              <w:bottom w:val="nil"/>
              <w:right w:val="nil"/>
            </w:tcBorders>
            <w:shd w:val="clear" w:color="auto" w:fill="FFFFFF"/>
            <w:vAlign w:val="center"/>
          </w:tcPr>
          <w:p w14:paraId="4427EC6A">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478E1B88">
            <w:pPr>
              <w:widowControl/>
              <w:jc w:val="center"/>
              <w:textAlignment w:val="center"/>
              <w:rPr>
                <w:color w:val="000000"/>
              </w:rPr>
            </w:pPr>
            <w:r>
              <w:rPr>
                <w:color w:val="000000"/>
                <w:kern w:val="0"/>
                <w:sz w:val="22"/>
                <w:szCs w:val="22"/>
              </w:rPr>
              <w:t>9.005</w:t>
            </w:r>
            <w:r>
              <w:rPr>
                <w:rFonts w:hint="eastAsia"/>
                <w:color w:val="000000"/>
                <w:kern w:val="0"/>
                <w:sz w:val="22"/>
                <w:szCs w:val="22"/>
              </w:rPr>
              <w:t>±0.37</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0F562CFC">
            <w:pPr>
              <w:widowControl/>
              <w:jc w:val="center"/>
              <w:textAlignment w:val="center"/>
              <w:rPr>
                <w:color w:val="000000"/>
              </w:rPr>
            </w:pPr>
            <w:r>
              <w:rPr>
                <w:color w:val="000000"/>
                <w:kern w:val="0"/>
                <w:sz w:val="22"/>
                <w:szCs w:val="22"/>
              </w:rPr>
              <w:t>8.175</w:t>
            </w:r>
            <w:r>
              <w:rPr>
                <w:rFonts w:hint="eastAsia"/>
                <w:color w:val="000000"/>
                <w:kern w:val="0"/>
                <w:sz w:val="22"/>
                <w:szCs w:val="22"/>
              </w:rPr>
              <w:t>±0.47</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8F0679D">
            <w:pPr>
              <w:widowControl/>
              <w:jc w:val="center"/>
              <w:textAlignment w:val="center"/>
              <w:rPr>
                <w:color w:val="000000"/>
              </w:rPr>
            </w:pPr>
            <w:r>
              <w:rPr>
                <w:color w:val="000000"/>
                <w:kern w:val="0"/>
                <w:sz w:val="22"/>
                <w:szCs w:val="22"/>
              </w:rPr>
              <w:t>8.195</w:t>
            </w:r>
            <w:r>
              <w:rPr>
                <w:rFonts w:hint="eastAsia"/>
                <w:color w:val="000000"/>
                <w:kern w:val="0"/>
                <w:sz w:val="22"/>
                <w:szCs w:val="22"/>
              </w:rPr>
              <w:t>±0.36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513037B">
            <w:pPr>
              <w:widowControl/>
              <w:jc w:val="center"/>
              <w:textAlignment w:val="center"/>
              <w:rPr>
                <w:color w:val="000000"/>
              </w:rPr>
            </w:pPr>
            <w:r>
              <w:rPr>
                <w:color w:val="000000"/>
                <w:kern w:val="0"/>
                <w:sz w:val="22"/>
                <w:szCs w:val="22"/>
              </w:rPr>
              <w:t>8.26</w:t>
            </w:r>
            <w:r>
              <w:rPr>
                <w:rFonts w:hint="eastAsia"/>
                <w:color w:val="000000"/>
                <w:kern w:val="0"/>
                <w:sz w:val="22"/>
                <w:szCs w:val="22"/>
              </w:rPr>
              <w:t>±0.01</w:t>
            </w:r>
            <w:r>
              <w:rPr>
                <w:rFonts w:hint="eastAsia"/>
                <w:color w:val="000000"/>
                <w:kern w:val="0"/>
                <w:sz w:val="22"/>
                <w:szCs w:val="22"/>
                <w:vertAlign w:val="superscript"/>
              </w:rPr>
              <w:t>a</w:t>
            </w:r>
          </w:p>
        </w:tc>
      </w:tr>
      <w:tr w14:paraId="3F82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5683DD88">
            <w:pPr>
              <w:rPr>
                <w:color w:val="000000"/>
              </w:rPr>
            </w:pPr>
          </w:p>
        </w:tc>
        <w:tc>
          <w:tcPr>
            <w:tcW w:w="412" w:type="pct"/>
            <w:vMerge w:val="restart"/>
            <w:tcBorders>
              <w:top w:val="nil"/>
              <w:left w:val="nil"/>
              <w:bottom w:val="nil"/>
              <w:right w:val="nil"/>
            </w:tcBorders>
            <w:shd w:val="clear" w:color="auto" w:fill="FFFFFF"/>
            <w:vAlign w:val="center"/>
          </w:tcPr>
          <w:p w14:paraId="4932779D">
            <w:pPr>
              <w:jc w:val="center"/>
              <w:rPr>
                <w:color w:val="000000"/>
              </w:rPr>
            </w:pPr>
            <w:r>
              <w:rPr>
                <w:rFonts w:hint="eastAsia"/>
                <w:color w:val="000000"/>
              </w:rPr>
              <w:t>40d</w:t>
            </w:r>
          </w:p>
        </w:tc>
        <w:tc>
          <w:tcPr>
            <w:tcW w:w="554" w:type="pct"/>
            <w:tcBorders>
              <w:top w:val="nil"/>
              <w:left w:val="nil"/>
              <w:bottom w:val="nil"/>
              <w:right w:val="nil"/>
            </w:tcBorders>
            <w:shd w:val="clear" w:color="auto" w:fill="FFFFFF"/>
            <w:vAlign w:val="center"/>
          </w:tcPr>
          <w:p w14:paraId="03BAB7EC">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5C44105A">
            <w:pPr>
              <w:widowControl/>
              <w:jc w:val="center"/>
              <w:textAlignment w:val="center"/>
              <w:rPr>
                <w:color w:val="000000"/>
              </w:rPr>
            </w:pPr>
            <w:r>
              <w:rPr>
                <w:color w:val="000000"/>
                <w:kern w:val="0"/>
                <w:sz w:val="22"/>
                <w:szCs w:val="22"/>
              </w:rPr>
              <w:t>4.075</w:t>
            </w:r>
            <w:r>
              <w:rPr>
                <w:rFonts w:hint="eastAsia"/>
                <w:color w:val="000000"/>
                <w:kern w:val="0"/>
                <w:sz w:val="22"/>
                <w:szCs w:val="22"/>
              </w:rPr>
              <w:t>±0.53</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05C8C52F">
            <w:pPr>
              <w:widowControl/>
              <w:jc w:val="center"/>
              <w:textAlignment w:val="center"/>
              <w:rPr>
                <w:color w:val="000000"/>
              </w:rPr>
            </w:pPr>
            <w:r>
              <w:rPr>
                <w:color w:val="000000"/>
                <w:kern w:val="0"/>
                <w:sz w:val="22"/>
                <w:szCs w:val="22"/>
              </w:rPr>
              <w:t>2.93</w:t>
            </w:r>
            <w:r>
              <w:rPr>
                <w:rFonts w:hint="eastAsia"/>
                <w:color w:val="000000"/>
                <w:kern w:val="0"/>
                <w:sz w:val="22"/>
                <w:szCs w:val="22"/>
              </w:rPr>
              <w:t>±0.61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147140EC">
            <w:pPr>
              <w:widowControl/>
              <w:jc w:val="center"/>
              <w:textAlignment w:val="center"/>
              <w:rPr>
                <w:color w:val="000000"/>
              </w:rPr>
            </w:pPr>
            <w:r>
              <w:rPr>
                <w:color w:val="000000"/>
                <w:kern w:val="0"/>
                <w:sz w:val="22"/>
                <w:szCs w:val="22"/>
              </w:rPr>
              <w:t>2.805</w:t>
            </w:r>
            <w:r>
              <w:rPr>
                <w:rFonts w:hint="eastAsia"/>
                <w:color w:val="000000"/>
                <w:kern w:val="0"/>
                <w:sz w:val="22"/>
                <w:szCs w:val="22"/>
              </w:rPr>
              <w:t>±0.91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18916663">
            <w:pPr>
              <w:widowControl/>
              <w:jc w:val="center"/>
              <w:textAlignment w:val="center"/>
              <w:rPr>
                <w:color w:val="000000"/>
              </w:rPr>
            </w:pPr>
            <w:r>
              <w:rPr>
                <w:color w:val="000000"/>
                <w:kern w:val="0"/>
                <w:sz w:val="22"/>
                <w:szCs w:val="22"/>
              </w:rPr>
              <w:t>3.485</w:t>
            </w:r>
            <w:r>
              <w:rPr>
                <w:rFonts w:hint="eastAsia"/>
                <w:color w:val="000000"/>
                <w:kern w:val="0"/>
                <w:sz w:val="22"/>
                <w:szCs w:val="22"/>
              </w:rPr>
              <w:t>±0.71</w:t>
            </w:r>
            <w:r>
              <w:rPr>
                <w:rFonts w:hint="eastAsia"/>
                <w:color w:val="000000"/>
                <w:kern w:val="0"/>
                <w:sz w:val="22"/>
                <w:szCs w:val="22"/>
                <w:vertAlign w:val="superscript"/>
              </w:rPr>
              <w:t>a</w:t>
            </w:r>
          </w:p>
        </w:tc>
      </w:tr>
      <w:tr w14:paraId="01C23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410BAD0C">
            <w:pPr>
              <w:rPr>
                <w:color w:val="000000"/>
              </w:rPr>
            </w:pPr>
          </w:p>
        </w:tc>
        <w:tc>
          <w:tcPr>
            <w:tcW w:w="412" w:type="pct"/>
            <w:vMerge w:val="continue"/>
            <w:tcBorders>
              <w:top w:val="nil"/>
              <w:left w:val="nil"/>
              <w:bottom w:val="nil"/>
              <w:right w:val="nil"/>
            </w:tcBorders>
            <w:shd w:val="clear" w:color="auto" w:fill="FFFFFF"/>
            <w:vAlign w:val="center"/>
          </w:tcPr>
          <w:p w14:paraId="411F2709">
            <w:pPr>
              <w:rPr>
                <w:color w:val="000000"/>
              </w:rPr>
            </w:pPr>
          </w:p>
        </w:tc>
        <w:tc>
          <w:tcPr>
            <w:tcW w:w="554" w:type="pct"/>
            <w:tcBorders>
              <w:top w:val="nil"/>
              <w:left w:val="nil"/>
              <w:bottom w:val="nil"/>
              <w:right w:val="nil"/>
            </w:tcBorders>
            <w:shd w:val="clear" w:color="auto" w:fill="FFFFFF"/>
            <w:vAlign w:val="center"/>
          </w:tcPr>
          <w:p w14:paraId="0F3C625D">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28188E3F">
            <w:pPr>
              <w:widowControl/>
              <w:jc w:val="center"/>
              <w:textAlignment w:val="center"/>
              <w:rPr>
                <w:color w:val="000000"/>
              </w:rPr>
            </w:pPr>
            <w:r>
              <w:rPr>
                <w:color w:val="000000"/>
                <w:kern w:val="0"/>
                <w:sz w:val="22"/>
                <w:szCs w:val="22"/>
              </w:rPr>
              <w:t>6.255</w:t>
            </w:r>
            <w:r>
              <w:rPr>
                <w:rFonts w:hint="eastAsia"/>
                <w:color w:val="000000"/>
                <w:kern w:val="0"/>
                <w:sz w:val="22"/>
                <w:szCs w:val="22"/>
              </w:rPr>
              <w:t>±1.31</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7D28E4FE">
            <w:pPr>
              <w:widowControl/>
              <w:jc w:val="center"/>
              <w:textAlignment w:val="center"/>
              <w:rPr>
                <w:color w:val="000000"/>
              </w:rPr>
            </w:pPr>
            <w:r>
              <w:rPr>
                <w:color w:val="000000"/>
                <w:kern w:val="0"/>
                <w:sz w:val="22"/>
                <w:szCs w:val="22"/>
              </w:rPr>
              <w:t>5.79</w:t>
            </w:r>
            <w:r>
              <w:rPr>
                <w:rFonts w:hint="eastAsia"/>
                <w:color w:val="000000"/>
                <w:kern w:val="0"/>
                <w:sz w:val="22"/>
                <w:szCs w:val="22"/>
              </w:rPr>
              <w:t>±0.86</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6E695F3E">
            <w:pPr>
              <w:widowControl/>
              <w:jc w:val="center"/>
              <w:textAlignment w:val="center"/>
              <w:rPr>
                <w:bCs/>
                <w:color w:val="000000"/>
              </w:rPr>
            </w:pPr>
            <w:r>
              <w:rPr>
                <w:color w:val="000000"/>
                <w:kern w:val="0"/>
                <w:sz w:val="22"/>
                <w:szCs w:val="22"/>
              </w:rPr>
              <w:t>4.5</w:t>
            </w:r>
            <w:r>
              <w:rPr>
                <w:rFonts w:hint="eastAsia"/>
                <w:color w:val="000000"/>
                <w:kern w:val="0"/>
                <w:sz w:val="22"/>
                <w:szCs w:val="22"/>
              </w:rPr>
              <w:t>±0.16</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31CCD2D">
            <w:pPr>
              <w:widowControl/>
              <w:jc w:val="center"/>
              <w:textAlignment w:val="center"/>
              <w:rPr>
                <w:color w:val="000000"/>
              </w:rPr>
            </w:pPr>
            <w:r>
              <w:rPr>
                <w:color w:val="000000"/>
                <w:kern w:val="0"/>
                <w:sz w:val="22"/>
                <w:szCs w:val="22"/>
              </w:rPr>
              <w:t>7.005</w:t>
            </w:r>
            <w:r>
              <w:rPr>
                <w:rFonts w:hint="eastAsia"/>
                <w:color w:val="000000"/>
                <w:kern w:val="0"/>
                <w:sz w:val="22"/>
                <w:szCs w:val="22"/>
              </w:rPr>
              <w:t>±0.28</w:t>
            </w:r>
            <w:r>
              <w:rPr>
                <w:rFonts w:hint="eastAsia"/>
                <w:color w:val="000000"/>
                <w:kern w:val="0"/>
                <w:sz w:val="22"/>
                <w:szCs w:val="22"/>
                <w:vertAlign w:val="superscript"/>
              </w:rPr>
              <w:t>a</w:t>
            </w:r>
          </w:p>
        </w:tc>
      </w:tr>
      <w:tr w14:paraId="7437B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4C4C9874">
            <w:pPr>
              <w:rPr>
                <w:color w:val="000000"/>
              </w:rPr>
            </w:pPr>
          </w:p>
        </w:tc>
        <w:tc>
          <w:tcPr>
            <w:tcW w:w="412" w:type="pct"/>
            <w:vMerge w:val="continue"/>
            <w:tcBorders>
              <w:top w:val="nil"/>
              <w:left w:val="nil"/>
              <w:bottom w:val="nil"/>
              <w:right w:val="nil"/>
            </w:tcBorders>
            <w:shd w:val="clear" w:color="auto" w:fill="FFFFFF"/>
            <w:vAlign w:val="center"/>
          </w:tcPr>
          <w:p w14:paraId="1AF5095D">
            <w:pPr>
              <w:rPr>
                <w:color w:val="000000"/>
              </w:rPr>
            </w:pPr>
          </w:p>
        </w:tc>
        <w:tc>
          <w:tcPr>
            <w:tcW w:w="554" w:type="pct"/>
            <w:tcBorders>
              <w:top w:val="nil"/>
              <w:left w:val="nil"/>
              <w:bottom w:val="nil"/>
              <w:right w:val="nil"/>
            </w:tcBorders>
            <w:shd w:val="clear" w:color="auto" w:fill="FFFFFF"/>
            <w:vAlign w:val="center"/>
          </w:tcPr>
          <w:p w14:paraId="759939A8">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6C0D99C1">
            <w:pPr>
              <w:widowControl/>
              <w:jc w:val="center"/>
              <w:textAlignment w:val="center"/>
              <w:rPr>
                <w:color w:val="000000"/>
              </w:rPr>
            </w:pPr>
            <w:r>
              <w:rPr>
                <w:color w:val="000000"/>
                <w:kern w:val="0"/>
                <w:sz w:val="22"/>
                <w:szCs w:val="22"/>
              </w:rPr>
              <w:t>7.965</w:t>
            </w:r>
            <w:r>
              <w:rPr>
                <w:rFonts w:hint="eastAsia"/>
                <w:color w:val="000000"/>
                <w:kern w:val="0"/>
                <w:sz w:val="22"/>
                <w:szCs w:val="22"/>
              </w:rPr>
              <w:t>±0.53</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1509EE74">
            <w:pPr>
              <w:widowControl/>
              <w:jc w:val="center"/>
              <w:textAlignment w:val="center"/>
              <w:rPr>
                <w:color w:val="000000"/>
              </w:rPr>
            </w:pPr>
            <w:r>
              <w:rPr>
                <w:color w:val="000000"/>
                <w:kern w:val="0"/>
                <w:sz w:val="22"/>
                <w:szCs w:val="22"/>
              </w:rPr>
              <w:t>6.745</w:t>
            </w:r>
            <w:r>
              <w:rPr>
                <w:rFonts w:hint="eastAsia"/>
                <w:color w:val="000000"/>
                <w:kern w:val="0"/>
                <w:sz w:val="22"/>
                <w:szCs w:val="22"/>
              </w:rPr>
              <w:t>±0.33</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4F953A15">
            <w:pPr>
              <w:widowControl/>
              <w:jc w:val="center"/>
              <w:textAlignment w:val="center"/>
              <w:rPr>
                <w:color w:val="000000"/>
              </w:rPr>
            </w:pPr>
            <w:r>
              <w:rPr>
                <w:color w:val="000000"/>
                <w:kern w:val="0"/>
                <w:sz w:val="22"/>
                <w:szCs w:val="22"/>
              </w:rPr>
              <w:t>5.76</w:t>
            </w:r>
            <w:r>
              <w:rPr>
                <w:rFonts w:hint="eastAsia"/>
                <w:color w:val="000000"/>
                <w:kern w:val="0"/>
                <w:sz w:val="22"/>
                <w:szCs w:val="22"/>
              </w:rPr>
              <w:t>±0.55</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5F4DA038">
            <w:pPr>
              <w:widowControl/>
              <w:jc w:val="center"/>
              <w:textAlignment w:val="center"/>
              <w:rPr>
                <w:color w:val="000000"/>
              </w:rPr>
            </w:pPr>
            <w:r>
              <w:rPr>
                <w:color w:val="000000"/>
                <w:kern w:val="0"/>
                <w:sz w:val="22"/>
                <w:szCs w:val="22"/>
              </w:rPr>
              <w:t>7.935</w:t>
            </w:r>
            <w:r>
              <w:rPr>
                <w:rFonts w:hint="eastAsia"/>
                <w:color w:val="000000"/>
                <w:kern w:val="0"/>
                <w:sz w:val="22"/>
                <w:szCs w:val="22"/>
              </w:rPr>
              <w:t>±0.36</w:t>
            </w:r>
            <w:r>
              <w:rPr>
                <w:rFonts w:hint="eastAsia"/>
                <w:color w:val="000000"/>
                <w:kern w:val="0"/>
                <w:sz w:val="22"/>
                <w:szCs w:val="22"/>
                <w:vertAlign w:val="superscript"/>
              </w:rPr>
              <w:t>a</w:t>
            </w:r>
          </w:p>
        </w:tc>
      </w:tr>
      <w:tr w14:paraId="310C7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7BE260EB">
            <w:pPr>
              <w:jc w:val="center"/>
              <w:rPr>
                <w:color w:val="000000"/>
              </w:rPr>
            </w:pPr>
          </w:p>
        </w:tc>
        <w:tc>
          <w:tcPr>
            <w:tcW w:w="412" w:type="pct"/>
            <w:vMerge w:val="continue"/>
            <w:tcBorders>
              <w:top w:val="nil"/>
              <w:left w:val="nil"/>
              <w:bottom w:val="nil"/>
              <w:right w:val="nil"/>
            </w:tcBorders>
            <w:shd w:val="clear" w:color="auto" w:fill="FFFFFF"/>
            <w:vAlign w:val="center"/>
          </w:tcPr>
          <w:p w14:paraId="07490CE4">
            <w:pPr>
              <w:jc w:val="center"/>
              <w:rPr>
                <w:color w:val="000000"/>
              </w:rPr>
            </w:pPr>
          </w:p>
        </w:tc>
        <w:tc>
          <w:tcPr>
            <w:tcW w:w="554" w:type="pct"/>
            <w:tcBorders>
              <w:top w:val="nil"/>
              <w:left w:val="nil"/>
              <w:bottom w:val="nil"/>
              <w:right w:val="nil"/>
            </w:tcBorders>
            <w:shd w:val="clear" w:color="auto" w:fill="FFFFFF"/>
            <w:vAlign w:val="center"/>
          </w:tcPr>
          <w:p w14:paraId="7B434BE3">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0215C6FB">
            <w:pPr>
              <w:widowControl/>
              <w:jc w:val="center"/>
              <w:textAlignment w:val="center"/>
              <w:rPr>
                <w:color w:val="000000"/>
              </w:rPr>
            </w:pPr>
            <w:r>
              <w:rPr>
                <w:color w:val="000000"/>
                <w:kern w:val="0"/>
                <w:sz w:val="22"/>
                <w:szCs w:val="22"/>
              </w:rPr>
              <w:t>8.81</w:t>
            </w:r>
            <w:r>
              <w:rPr>
                <w:rFonts w:hint="eastAsia"/>
                <w:color w:val="000000"/>
                <w:kern w:val="0"/>
                <w:sz w:val="22"/>
                <w:szCs w:val="22"/>
              </w:rPr>
              <w:t>±0.59</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68CF2685">
            <w:pPr>
              <w:widowControl/>
              <w:jc w:val="center"/>
              <w:textAlignment w:val="center"/>
              <w:rPr>
                <w:color w:val="000000"/>
              </w:rPr>
            </w:pPr>
            <w:r>
              <w:rPr>
                <w:color w:val="000000"/>
                <w:kern w:val="0"/>
                <w:sz w:val="22"/>
                <w:szCs w:val="22"/>
              </w:rPr>
              <w:t>7.19</w:t>
            </w:r>
            <w:r>
              <w:rPr>
                <w:rFonts w:hint="eastAsia"/>
                <w:color w:val="000000"/>
                <w:kern w:val="0"/>
                <w:sz w:val="22"/>
                <w:szCs w:val="22"/>
              </w:rPr>
              <w:t>±0.11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79331F6D">
            <w:pPr>
              <w:widowControl/>
              <w:jc w:val="center"/>
              <w:textAlignment w:val="center"/>
              <w:rPr>
                <w:color w:val="000000"/>
              </w:rPr>
            </w:pPr>
            <w:r>
              <w:rPr>
                <w:color w:val="000000"/>
                <w:kern w:val="0"/>
                <w:sz w:val="22"/>
                <w:szCs w:val="22"/>
              </w:rPr>
              <w:t>7.33</w:t>
            </w:r>
            <w:r>
              <w:rPr>
                <w:rFonts w:hint="eastAsia"/>
                <w:color w:val="000000"/>
                <w:kern w:val="0"/>
                <w:sz w:val="22"/>
                <w:szCs w:val="22"/>
              </w:rPr>
              <w:t>±0.06</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402E43D9">
            <w:pPr>
              <w:widowControl/>
              <w:jc w:val="center"/>
              <w:textAlignment w:val="center"/>
              <w:rPr>
                <w:color w:val="000000"/>
              </w:rPr>
            </w:pPr>
            <w:r>
              <w:rPr>
                <w:color w:val="000000"/>
                <w:kern w:val="0"/>
                <w:sz w:val="22"/>
                <w:szCs w:val="22"/>
              </w:rPr>
              <w:t>7.42</w:t>
            </w:r>
            <w:r>
              <w:rPr>
                <w:rFonts w:hint="eastAsia"/>
                <w:color w:val="000000"/>
                <w:kern w:val="0"/>
                <w:sz w:val="22"/>
                <w:szCs w:val="22"/>
              </w:rPr>
              <w:t>±0.72</w:t>
            </w:r>
            <w:r>
              <w:rPr>
                <w:rFonts w:hint="eastAsia"/>
                <w:color w:val="000000"/>
                <w:kern w:val="0"/>
                <w:sz w:val="22"/>
                <w:szCs w:val="22"/>
                <w:vertAlign w:val="superscript"/>
              </w:rPr>
              <w:t>a</w:t>
            </w:r>
          </w:p>
        </w:tc>
      </w:tr>
      <w:tr w14:paraId="62DC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restart"/>
            <w:tcBorders>
              <w:top w:val="nil"/>
              <w:left w:val="nil"/>
              <w:bottom w:val="nil"/>
              <w:right w:val="nil"/>
            </w:tcBorders>
            <w:shd w:val="clear" w:color="auto" w:fill="FFFFFF"/>
            <w:vAlign w:val="center"/>
          </w:tcPr>
          <w:p w14:paraId="62DDFB43">
            <w:pPr>
              <w:jc w:val="center"/>
              <w:rPr>
                <w:color w:val="000000"/>
              </w:rPr>
            </w:pPr>
            <w:r>
              <w:rPr>
                <w:rFonts w:hint="eastAsia"/>
                <w:color w:val="000000"/>
              </w:rPr>
              <w:t>△E</w:t>
            </w:r>
          </w:p>
        </w:tc>
        <w:tc>
          <w:tcPr>
            <w:tcW w:w="412" w:type="pct"/>
            <w:vMerge w:val="restart"/>
            <w:tcBorders>
              <w:top w:val="nil"/>
              <w:left w:val="nil"/>
              <w:bottom w:val="nil"/>
              <w:right w:val="nil"/>
            </w:tcBorders>
            <w:shd w:val="clear" w:color="auto" w:fill="FFFFFF"/>
            <w:vAlign w:val="center"/>
          </w:tcPr>
          <w:p w14:paraId="10FDD85C">
            <w:pPr>
              <w:jc w:val="center"/>
              <w:rPr>
                <w:color w:val="000000"/>
              </w:rPr>
            </w:pPr>
            <w:r>
              <w:rPr>
                <w:rFonts w:hint="eastAsia"/>
                <w:color w:val="000000"/>
              </w:rPr>
              <w:t>10d</w:t>
            </w:r>
          </w:p>
        </w:tc>
        <w:tc>
          <w:tcPr>
            <w:tcW w:w="554" w:type="pct"/>
            <w:tcBorders>
              <w:top w:val="nil"/>
              <w:left w:val="nil"/>
              <w:bottom w:val="nil"/>
              <w:right w:val="nil"/>
            </w:tcBorders>
            <w:shd w:val="clear" w:color="auto" w:fill="FFFFFF"/>
            <w:vAlign w:val="center"/>
          </w:tcPr>
          <w:p w14:paraId="3671A375">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7904ED55">
            <w:pPr>
              <w:widowControl/>
              <w:jc w:val="center"/>
              <w:textAlignment w:val="center"/>
              <w:rPr>
                <w:color w:val="000000"/>
              </w:rPr>
            </w:pPr>
            <w:r>
              <w:rPr>
                <w:color w:val="000000"/>
                <w:kern w:val="0"/>
                <w:sz w:val="22"/>
                <w:szCs w:val="22"/>
              </w:rPr>
              <w:t>5.20</w:t>
            </w:r>
            <w:r>
              <w:rPr>
                <w:rFonts w:hint="eastAsia"/>
                <w:color w:val="000000"/>
                <w:kern w:val="0"/>
                <w:sz w:val="22"/>
                <w:szCs w:val="22"/>
              </w:rPr>
              <w:t>±0.39</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0786F249">
            <w:pPr>
              <w:widowControl/>
              <w:jc w:val="center"/>
              <w:textAlignment w:val="center"/>
              <w:rPr>
                <w:color w:val="000000"/>
              </w:rPr>
            </w:pPr>
            <w:r>
              <w:rPr>
                <w:color w:val="000000"/>
                <w:kern w:val="0"/>
                <w:sz w:val="22"/>
                <w:szCs w:val="22"/>
              </w:rPr>
              <w:t>3.24</w:t>
            </w:r>
            <w:r>
              <w:rPr>
                <w:rFonts w:hint="eastAsia"/>
                <w:color w:val="000000"/>
                <w:kern w:val="0"/>
                <w:sz w:val="22"/>
                <w:szCs w:val="22"/>
              </w:rPr>
              <w:t>±0.32</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4DAD50C5">
            <w:pPr>
              <w:widowControl/>
              <w:jc w:val="center"/>
              <w:textAlignment w:val="center"/>
              <w:rPr>
                <w:color w:val="000000"/>
              </w:rPr>
            </w:pPr>
            <w:r>
              <w:rPr>
                <w:color w:val="000000"/>
                <w:kern w:val="0"/>
                <w:sz w:val="22"/>
                <w:szCs w:val="22"/>
              </w:rPr>
              <w:t>4.14</w:t>
            </w:r>
            <w:r>
              <w:rPr>
                <w:rFonts w:hint="eastAsia"/>
                <w:color w:val="000000"/>
                <w:kern w:val="0"/>
                <w:sz w:val="22"/>
                <w:szCs w:val="22"/>
              </w:rPr>
              <w:t>±0.25</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22E6A9C2">
            <w:pPr>
              <w:widowControl/>
              <w:jc w:val="center"/>
              <w:textAlignment w:val="center"/>
              <w:rPr>
                <w:color w:val="000000"/>
              </w:rPr>
            </w:pPr>
            <w:r>
              <w:rPr>
                <w:color w:val="000000"/>
                <w:kern w:val="0"/>
                <w:sz w:val="22"/>
                <w:szCs w:val="22"/>
              </w:rPr>
              <w:t>3.91</w:t>
            </w:r>
            <w:r>
              <w:rPr>
                <w:rFonts w:hint="eastAsia"/>
                <w:color w:val="000000"/>
                <w:kern w:val="0"/>
                <w:sz w:val="22"/>
                <w:szCs w:val="22"/>
              </w:rPr>
              <w:t>±0.40</w:t>
            </w:r>
            <w:r>
              <w:rPr>
                <w:rFonts w:hint="eastAsia"/>
                <w:color w:val="000000"/>
                <w:kern w:val="0"/>
                <w:sz w:val="22"/>
                <w:szCs w:val="22"/>
                <w:vertAlign w:val="superscript"/>
              </w:rPr>
              <w:t>b</w:t>
            </w:r>
          </w:p>
        </w:tc>
      </w:tr>
      <w:tr w14:paraId="3E324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28D26B4A">
            <w:pPr>
              <w:rPr>
                <w:color w:val="000000"/>
              </w:rPr>
            </w:pPr>
          </w:p>
        </w:tc>
        <w:tc>
          <w:tcPr>
            <w:tcW w:w="412" w:type="pct"/>
            <w:vMerge w:val="continue"/>
            <w:tcBorders>
              <w:top w:val="nil"/>
              <w:left w:val="nil"/>
              <w:bottom w:val="nil"/>
              <w:right w:val="nil"/>
            </w:tcBorders>
            <w:shd w:val="clear" w:color="auto" w:fill="FFFFFF"/>
            <w:vAlign w:val="center"/>
          </w:tcPr>
          <w:p w14:paraId="412ACC8B">
            <w:pPr>
              <w:rPr>
                <w:color w:val="000000"/>
              </w:rPr>
            </w:pPr>
          </w:p>
        </w:tc>
        <w:tc>
          <w:tcPr>
            <w:tcW w:w="554" w:type="pct"/>
            <w:tcBorders>
              <w:top w:val="nil"/>
              <w:left w:val="nil"/>
              <w:bottom w:val="nil"/>
              <w:right w:val="nil"/>
            </w:tcBorders>
            <w:shd w:val="clear" w:color="auto" w:fill="FFFFFF"/>
            <w:vAlign w:val="center"/>
          </w:tcPr>
          <w:p w14:paraId="1508447D">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3A68543E">
            <w:pPr>
              <w:widowControl/>
              <w:jc w:val="center"/>
              <w:textAlignment w:val="center"/>
              <w:rPr>
                <w:color w:val="000000"/>
              </w:rPr>
            </w:pPr>
            <w:r>
              <w:rPr>
                <w:color w:val="000000"/>
                <w:kern w:val="0"/>
                <w:sz w:val="22"/>
                <w:szCs w:val="22"/>
              </w:rPr>
              <w:t>7.87</w:t>
            </w:r>
            <w:r>
              <w:rPr>
                <w:rFonts w:hint="eastAsia"/>
                <w:color w:val="000000"/>
                <w:kern w:val="0"/>
                <w:sz w:val="22"/>
                <w:szCs w:val="22"/>
              </w:rPr>
              <w:t>±0.08</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09BE7561">
            <w:pPr>
              <w:widowControl/>
              <w:jc w:val="center"/>
              <w:textAlignment w:val="center"/>
              <w:rPr>
                <w:color w:val="000000"/>
              </w:rPr>
            </w:pPr>
            <w:r>
              <w:rPr>
                <w:color w:val="000000"/>
                <w:kern w:val="0"/>
                <w:sz w:val="22"/>
                <w:szCs w:val="22"/>
              </w:rPr>
              <w:t>6.59</w:t>
            </w:r>
            <w:r>
              <w:rPr>
                <w:rFonts w:hint="eastAsia"/>
                <w:color w:val="000000"/>
                <w:kern w:val="0"/>
                <w:sz w:val="22"/>
                <w:szCs w:val="22"/>
              </w:rPr>
              <w:t>±0.21</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6E91FDE">
            <w:pPr>
              <w:widowControl/>
              <w:jc w:val="center"/>
              <w:textAlignment w:val="center"/>
              <w:rPr>
                <w:color w:val="000000"/>
              </w:rPr>
            </w:pPr>
            <w:r>
              <w:rPr>
                <w:color w:val="000000"/>
                <w:kern w:val="0"/>
                <w:sz w:val="22"/>
                <w:szCs w:val="22"/>
              </w:rPr>
              <w:t>5.62</w:t>
            </w:r>
            <w:r>
              <w:rPr>
                <w:rFonts w:hint="eastAsia"/>
                <w:color w:val="000000"/>
                <w:kern w:val="0"/>
                <w:sz w:val="22"/>
                <w:szCs w:val="22"/>
              </w:rPr>
              <w:t>±0.25</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E10F37A">
            <w:pPr>
              <w:widowControl/>
              <w:jc w:val="center"/>
              <w:textAlignment w:val="center"/>
              <w:rPr>
                <w:color w:val="000000"/>
              </w:rPr>
            </w:pPr>
            <w:r>
              <w:rPr>
                <w:color w:val="000000"/>
                <w:kern w:val="0"/>
                <w:sz w:val="22"/>
                <w:szCs w:val="22"/>
              </w:rPr>
              <w:t>8.10</w:t>
            </w:r>
            <w:r>
              <w:rPr>
                <w:rFonts w:hint="eastAsia"/>
                <w:color w:val="000000"/>
                <w:kern w:val="0"/>
                <w:sz w:val="22"/>
                <w:szCs w:val="22"/>
              </w:rPr>
              <w:t>±0.16</w:t>
            </w:r>
            <w:r>
              <w:rPr>
                <w:rFonts w:hint="eastAsia"/>
                <w:color w:val="000000"/>
                <w:kern w:val="0"/>
                <w:sz w:val="22"/>
                <w:szCs w:val="22"/>
                <w:vertAlign w:val="superscript"/>
              </w:rPr>
              <w:t>a</w:t>
            </w:r>
          </w:p>
        </w:tc>
      </w:tr>
      <w:tr w14:paraId="1B5C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3F837053">
            <w:pPr>
              <w:rPr>
                <w:color w:val="000000"/>
              </w:rPr>
            </w:pPr>
          </w:p>
        </w:tc>
        <w:tc>
          <w:tcPr>
            <w:tcW w:w="412" w:type="pct"/>
            <w:vMerge w:val="continue"/>
            <w:tcBorders>
              <w:top w:val="nil"/>
              <w:left w:val="nil"/>
              <w:bottom w:val="nil"/>
              <w:right w:val="nil"/>
            </w:tcBorders>
            <w:shd w:val="clear" w:color="auto" w:fill="FFFFFF"/>
            <w:vAlign w:val="center"/>
          </w:tcPr>
          <w:p w14:paraId="7C6097CE">
            <w:pPr>
              <w:rPr>
                <w:color w:val="000000"/>
              </w:rPr>
            </w:pPr>
          </w:p>
        </w:tc>
        <w:tc>
          <w:tcPr>
            <w:tcW w:w="554" w:type="pct"/>
            <w:tcBorders>
              <w:top w:val="nil"/>
              <w:left w:val="nil"/>
              <w:bottom w:val="nil"/>
              <w:right w:val="nil"/>
            </w:tcBorders>
            <w:shd w:val="clear" w:color="auto" w:fill="FFFFFF"/>
            <w:vAlign w:val="center"/>
          </w:tcPr>
          <w:p w14:paraId="493D044F">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56332004">
            <w:pPr>
              <w:widowControl/>
              <w:jc w:val="center"/>
              <w:textAlignment w:val="center"/>
              <w:rPr>
                <w:color w:val="000000"/>
              </w:rPr>
            </w:pPr>
            <w:r>
              <w:rPr>
                <w:color w:val="000000"/>
                <w:kern w:val="0"/>
                <w:sz w:val="22"/>
                <w:szCs w:val="22"/>
              </w:rPr>
              <w:t>9.75</w:t>
            </w:r>
            <w:r>
              <w:rPr>
                <w:rFonts w:hint="eastAsia"/>
                <w:color w:val="000000"/>
                <w:kern w:val="0"/>
                <w:sz w:val="22"/>
                <w:szCs w:val="22"/>
              </w:rPr>
              <w:t>±0.03</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402C3669">
            <w:pPr>
              <w:widowControl/>
              <w:jc w:val="center"/>
              <w:textAlignment w:val="center"/>
              <w:rPr>
                <w:color w:val="000000"/>
              </w:rPr>
            </w:pPr>
            <w:r>
              <w:rPr>
                <w:color w:val="000000"/>
                <w:kern w:val="0"/>
                <w:sz w:val="22"/>
                <w:szCs w:val="22"/>
              </w:rPr>
              <w:t>8.13</w:t>
            </w:r>
            <w:r>
              <w:rPr>
                <w:rFonts w:hint="eastAsia"/>
                <w:color w:val="000000"/>
                <w:kern w:val="0"/>
                <w:sz w:val="22"/>
                <w:szCs w:val="22"/>
              </w:rPr>
              <w:t>±0.41</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186C39F">
            <w:pPr>
              <w:widowControl/>
              <w:jc w:val="center"/>
              <w:textAlignment w:val="center"/>
              <w:rPr>
                <w:color w:val="000000"/>
              </w:rPr>
            </w:pPr>
            <w:r>
              <w:rPr>
                <w:color w:val="000000"/>
                <w:kern w:val="0"/>
                <w:sz w:val="22"/>
                <w:szCs w:val="22"/>
              </w:rPr>
              <w:t>7.86</w:t>
            </w:r>
            <w:r>
              <w:rPr>
                <w:rFonts w:hint="eastAsia"/>
                <w:color w:val="000000"/>
                <w:kern w:val="0"/>
                <w:sz w:val="22"/>
                <w:szCs w:val="22"/>
              </w:rPr>
              <w:t>±0.47</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4BD9904A">
            <w:pPr>
              <w:widowControl/>
              <w:jc w:val="center"/>
              <w:textAlignment w:val="center"/>
              <w:rPr>
                <w:color w:val="000000"/>
              </w:rPr>
            </w:pPr>
            <w:r>
              <w:rPr>
                <w:color w:val="000000"/>
                <w:kern w:val="0"/>
                <w:sz w:val="22"/>
                <w:szCs w:val="22"/>
              </w:rPr>
              <w:t>9.86</w:t>
            </w:r>
            <w:r>
              <w:rPr>
                <w:rFonts w:hint="eastAsia"/>
                <w:color w:val="000000"/>
                <w:kern w:val="0"/>
                <w:sz w:val="22"/>
                <w:szCs w:val="22"/>
              </w:rPr>
              <w:t>±0.03</w:t>
            </w:r>
            <w:r>
              <w:rPr>
                <w:rFonts w:hint="eastAsia"/>
                <w:color w:val="000000"/>
                <w:kern w:val="0"/>
                <w:sz w:val="22"/>
                <w:szCs w:val="22"/>
                <w:vertAlign w:val="superscript"/>
              </w:rPr>
              <w:t>a</w:t>
            </w:r>
          </w:p>
        </w:tc>
      </w:tr>
      <w:tr w14:paraId="2BF1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34DA5516">
            <w:pPr>
              <w:rPr>
                <w:color w:val="000000"/>
              </w:rPr>
            </w:pPr>
          </w:p>
        </w:tc>
        <w:tc>
          <w:tcPr>
            <w:tcW w:w="412" w:type="pct"/>
            <w:vMerge w:val="continue"/>
            <w:tcBorders>
              <w:top w:val="nil"/>
              <w:left w:val="nil"/>
              <w:bottom w:val="nil"/>
              <w:right w:val="nil"/>
            </w:tcBorders>
            <w:shd w:val="clear" w:color="auto" w:fill="FFFFFF"/>
            <w:vAlign w:val="center"/>
          </w:tcPr>
          <w:p w14:paraId="0A6B6435">
            <w:pPr>
              <w:rPr>
                <w:color w:val="000000"/>
              </w:rPr>
            </w:pPr>
          </w:p>
        </w:tc>
        <w:tc>
          <w:tcPr>
            <w:tcW w:w="554" w:type="pct"/>
            <w:tcBorders>
              <w:top w:val="nil"/>
              <w:left w:val="nil"/>
              <w:bottom w:val="nil"/>
              <w:right w:val="nil"/>
            </w:tcBorders>
            <w:shd w:val="clear" w:color="auto" w:fill="FFFFFF"/>
            <w:vAlign w:val="center"/>
          </w:tcPr>
          <w:p w14:paraId="7B0EF99B">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2A6AE569">
            <w:pPr>
              <w:widowControl/>
              <w:jc w:val="center"/>
              <w:textAlignment w:val="center"/>
              <w:rPr>
                <w:color w:val="000000"/>
              </w:rPr>
            </w:pPr>
            <w:r>
              <w:rPr>
                <w:color w:val="000000"/>
                <w:kern w:val="0"/>
                <w:sz w:val="22"/>
                <w:szCs w:val="22"/>
              </w:rPr>
              <w:t>10.06</w:t>
            </w:r>
            <w:r>
              <w:rPr>
                <w:rFonts w:hint="eastAsia"/>
                <w:color w:val="000000"/>
                <w:kern w:val="0"/>
                <w:sz w:val="22"/>
                <w:szCs w:val="22"/>
              </w:rPr>
              <w:t>±0.75</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40F72008">
            <w:pPr>
              <w:widowControl/>
              <w:jc w:val="center"/>
              <w:textAlignment w:val="center"/>
              <w:rPr>
                <w:color w:val="000000"/>
              </w:rPr>
            </w:pPr>
            <w:r>
              <w:rPr>
                <w:color w:val="000000"/>
                <w:kern w:val="0"/>
                <w:sz w:val="22"/>
                <w:szCs w:val="22"/>
              </w:rPr>
              <w:t>9.59</w:t>
            </w:r>
            <w:r>
              <w:rPr>
                <w:rFonts w:hint="eastAsia"/>
                <w:color w:val="000000"/>
                <w:kern w:val="0"/>
                <w:sz w:val="22"/>
                <w:szCs w:val="22"/>
              </w:rPr>
              <w:t>±0.10</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535649A3">
            <w:pPr>
              <w:widowControl/>
              <w:jc w:val="center"/>
              <w:textAlignment w:val="center"/>
              <w:rPr>
                <w:color w:val="000000"/>
              </w:rPr>
            </w:pPr>
            <w:r>
              <w:rPr>
                <w:color w:val="000000"/>
                <w:kern w:val="0"/>
                <w:sz w:val="22"/>
                <w:szCs w:val="22"/>
              </w:rPr>
              <w:t>9.07</w:t>
            </w:r>
            <w:r>
              <w:rPr>
                <w:rFonts w:hint="eastAsia"/>
                <w:color w:val="000000"/>
                <w:kern w:val="0"/>
                <w:sz w:val="22"/>
                <w:szCs w:val="22"/>
              </w:rPr>
              <w:t>±0.32</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5231EA40">
            <w:pPr>
              <w:widowControl/>
              <w:jc w:val="center"/>
              <w:textAlignment w:val="center"/>
              <w:rPr>
                <w:color w:val="000000"/>
              </w:rPr>
            </w:pPr>
            <w:r>
              <w:rPr>
                <w:color w:val="000000"/>
                <w:kern w:val="0"/>
                <w:sz w:val="22"/>
                <w:szCs w:val="22"/>
              </w:rPr>
              <w:t>9.28</w:t>
            </w:r>
            <w:r>
              <w:rPr>
                <w:rFonts w:hint="eastAsia"/>
                <w:color w:val="000000"/>
                <w:kern w:val="0"/>
                <w:sz w:val="22"/>
                <w:szCs w:val="22"/>
              </w:rPr>
              <w:t>±1.04</w:t>
            </w:r>
            <w:r>
              <w:rPr>
                <w:rFonts w:hint="eastAsia"/>
                <w:color w:val="000000"/>
                <w:kern w:val="0"/>
                <w:sz w:val="22"/>
                <w:szCs w:val="22"/>
                <w:vertAlign w:val="superscript"/>
              </w:rPr>
              <w:t>a</w:t>
            </w:r>
          </w:p>
        </w:tc>
      </w:tr>
      <w:tr w14:paraId="18CA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3AD07637">
            <w:pPr>
              <w:rPr>
                <w:color w:val="000000"/>
              </w:rPr>
            </w:pPr>
          </w:p>
        </w:tc>
        <w:tc>
          <w:tcPr>
            <w:tcW w:w="412" w:type="pct"/>
            <w:vMerge w:val="restart"/>
            <w:tcBorders>
              <w:top w:val="nil"/>
              <w:left w:val="nil"/>
              <w:bottom w:val="nil"/>
              <w:right w:val="nil"/>
            </w:tcBorders>
            <w:shd w:val="clear" w:color="auto" w:fill="FFFFFF"/>
            <w:vAlign w:val="center"/>
          </w:tcPr>
          <w:p w14:paraId="35691424">
            <w:pPr>
              <w:jc w:val="center"/>
              <w:rPr>
                <w:color w:val="000000"/>
              </w:rPr>
            </w:pPr>
            <w:r>
              <w:rPr>
                <w:rFonts w:hint="eastAsia"/>
                <w:color w:val="000000"/>
              </w:rPr>
              <w:t>20d</w:t>
            </w:r>
          </w:p>
        </w:tc>
        <w:tc>
          <w:tcPr>
            <w:tcW w:w="554" w:type="pct"/>
            <w:tcBorders>
              <w:top w:val="nil"/>
              <w:left w:val="nil"/>
              <w:bottom w:val="nil"/>
              <w:right w:val="nil"/>
            </w:tcBorders>
            <w:shd w:val="clear" w:color="auto" w:fill="FFFFFF"/>
            <w:vAlign w:val="center"/>
          </w:tcPr>
          <w:p w14:paraId="5B6FCC2C">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7656AC93">
            <w:pPr>
              <w:widowControl/>
              <w:jc w:val="center"/>
              <w:textAlignment w:val="center"/>
              <w:rPr>
                <w:color w:val="000000"/>
              </w:rPr>
            </w:pPr>
            <w:r>
              <w:rPr>
                <w:color w:val="000000"/>
                <w:kern w:val="0"/>
                <w:sz w:val="22"/>
                <w:szCs w:val="22"/>
              </w:rPr>
              <w:t>5.41</w:t>
            </w:r>
            <w:r>
              <w:rPr>
                <w:rFonts w:hint="eastAsia"/>
                <w:color w:val="000000"/>
                <w:kern w:val="0"/>
                <w:sz w:val="22"/>
                <w:szCs w:val="22"/>
              </w:rPr>
              <w:t>±0.41</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163E5761">
            <w:pPr>
              <w:widowControl/>
              <w:jc w:val="center"/>
              <w:textAlignment w:val="center"/>
              <w:rPr>
                <w:color w:val="000000"/>
              </w:rPr>
            </w:pPr>
            <w:r>
              <w:rPr>
                <w:color w:val="000000"/>
                <w:kern w:val="0"/>
                <w:sz w:val="22"/>
                <w:szCs w:val="22"/>
              </w:rPr>
              <w:t>3.50</w:t>
            </w:r>
            <w:r>
              <w:rPr>
                <w:rFonts w:hint="eastAsia"/>
                <w:color w:val="000000"/>
                <w:kern w:val="0"/>
                <w:sz w:val="22"/>
                <w:szCs w:val="22"/>
              </w:rPr>
              <w:t>±0.01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73BD2021">
            <w:pPr>
              <w:widowControl/>
              <w:jc w:val="center"/>
              <w:textAlignment w:val="center"/>
              <w:rPr>
                <w:color w:val="000000"/>
              </w:rPr>
            </w:pPr>
            <w:r>
              <w:rPr>
                <w:color w:val="000000"/>
                <w:kern w:val="0"/>
                <w:sz w:val="22"/>
                <w:szCs w:val="22"/>
              </w:rPr>
              <w:t>4.00</w:t>
            </w:r>
            <w:r>
              <w:rPr>
                <w:rFonts w:hint="eastAsia"/>
                <w:color w:val="000000"/>
                <w:kern w:val="0"/>
                <w:sz w:val="22"/>
                <w:szCs w:val="22"/>
              </w:rPr>
              <w:t>±1.08</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730BBC83">
            <w:pPr>
              <w:widowControl/>
              <w:jc w:val="center"/>
              <w:textAlignment w:val="center"/>
              <w:rPr>
                <w:color w:val="000000"/>
              </w:rPr>
            </w:pPr>
            <w:r>
              <w:rPr>
                <w:color w:val="000000"/>
                <w:kern w:val="0"/>
                <w:sz w:val="22"/>
                <w:szCs w:val="22"/>
              </w:rPr>
              <w:t>4.03</w:t>
            </w:r>
            <w:r>
              <w:rPr>
                <w:rFonts w:hint="eastAsia"/>
                <w:color w:val="000000"/>
                <w:kern w:val="0"/>
                <w:sz w:val="22"/>
                <w:szCs w:val="22"/>
              </w:rPr>
              <w:t>±0.28</w:t>
            </w:r>
            <w:r>
              <w:rPr>
                <w:rFonts w:hint="eastAsia"/>
                <w:color w:val="000000"/>
                <w:kern w:val="0"/>
                <w:sz w:val="22"/>
                <w:szCs w:val="22"/>
                <w:vertAlign w:val="superscript"/>
              </w:rPr>
              <w:t>a</w:t>
            </w:r>
          </w:p>
        </w:tc>
      </w:tr>
      <w:tr w14:paraId="575E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40CC0F8F">
            <w:pPr>
              <w:rPr>
                <w:color w:val="000000"/>
              </w:rPr>
            </w:pPr>
          </w:p>
        </w:tc>
        <w:tc>
          <w:tcPr>
            <w:tcW w:w="412" w:type="pct"/>
            <w:vMerge w:val="continue"/>
            <w:tcBorders>
              <w:top w:val="nil"/>
              <w:left w:val="nil"/>
              <w:bottom w:val="nil"/>
              <w:right w:val="nil"/>
            </w:tcBorders>
            <w:shd w:val="clear" w:color="auto" w:fill="FFFFFF"/>
            <w:vAlign w:val="center"/>
          </w:tcPr>
          <w:p w14:paraId="1428E3B9">
            <w:pPr>
              <w:rPr>
                <w:color w:val="000000"/>
              </w:rPr>
            </w:pPr>
          </w:p>
        </w:tc>
        <w:tc>
          <w:tcPr>
            <w:tcW w:w="554" w:type="pct"/>
            <w:tcBorders>
              <w:top w:val="nil"/>
              <w:left w:val="nil"/>
              <w:bottom w:val="nil"/>
              <w:right w:val="nil"/>
            </w:tcBorders>
            <w:shd w:val="clear" w:color="auto" w:fill="FFFFFF"/>
            <w:vAlign w:val="center"/>
          </w:tcPr>
          <w:p w14:paraId="61BF6F4C">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4FF37A71">
            <w:pPr>
              <w:widowControl/>
              <w:jc w:val="center"/>
              <w:textAlignment w:val="center"/>
              <w:rPr>
                <w:color w:val="000000"/>
              </w:rPr>
            </w:pPr>
            <w:r>
              <w:rPr>
                <w:color w:val="000000"/>
                <w:kern w:val="0"/>
                <w:sz w:val="22"/>
                <w:szCs w:val="22"/>
              </w:rPr>
              <w:t>7.79</w:t>
            </w:r>
            <w:r>
              <w:rPr>
                <w:rFonts w:hint="eastAsia"/>
                <w:color w:val="000000"/>
                <w:kern w:val="0"/>
                <w:sz w:val="22"/>
                <w:szCs w:val="22"/>
              </w:rPr>
              <w:t>±0.26</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5780BC43">
            <w:pPr>
              <w:widowControl/>
              <w:jc w:val="center"/>
              <w:textAlignment w:val="center"/>
              <w:rPr>
                <w:color w:val="000000"/>
              </w:rPr>
            </w:pPr>
            <w:r>
              <w:rPr>
                <w:color w:val="000000"/>
                <w:kern w:val="0"/>
                <w:sz w:val="22"/>
                <w:szCs w:val="22"/>
              </w:rPr>
              <w:t>6.63</w:t>
            </w:r>
            <w:r>
              <w:rPr>
                <w:rFonts w:hint="eastAsia"/>
                <w:color w:val="000000"/>
                <w:kern w:val="0"/>
                <w:sz w:val="22"/>
                <w:szCs w:val="22"/>
              </w:rPr>
              <w:t>±0.42</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6F4ACF32">
            <w:pPr>
              <w:widowControl/>
              <w:jc w:val="center"/>
              <w:textAlignment w:val="center"/>
              <w:rPr>
                <w:color w:val="000000"/>
              </w:rPr>
            </w:pPr>
            <w:r>
              <w:rPr>
                <w:color w:val="000000"/>
                <w:kern w:val="0"/>
                <w:sz w:val="22"/>
                <w:szCs w:val="22"/>
              </w:rPr>
              <w:t>5.95</w:t>
            </w:r>
            <w:r>
              <w:rPr>
                <w:rFonts w:hint="eastAsia"/>
                <w:color w:val="000000"/>
                <w:kern w:val="0"/>
                <w:sz w:val="22"/>
                <w:szCs w:val="22"/>
              </w:rPr>
              <w:t>±±0.18</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4DC0600C">
            <w:pPr>
              <w:widowControl/>
              <w:jc w:val="center"/>
              <w:textAlignment w:val="center"/>
              <w:rPr>
                <w:color w:val="000000"/>
              </w:rPr>
            </w:pPr>
            <w:r>
              <w:rPr>
                <w:color w:val="000000"/>
                <w:kern w:val="0"/>
                <w:sz w:val="22"/>
                <w:szCs w:val="22"/>
              </w:rPr>
              <w:t>8.65</w:t>
            </w:r>
            <w:r>
              <w:rPr>
                <w:rFonts w:hint="eastAsia"/>
                <w:color w:val="000000"/>
                <w:kern w:val="0"/>
                <w:sz w:val="22"/>
                <w:szCs w:val="22"/>
              </w:rPr>
              <w:t>±0.23</w:t>
            </w:r>
            <w:r>
              <w:rPr>
                <w:rFonts w:hint="eastAsia"/>
                <w:color w:val="000000"/>
                <w:kern w:val="0"/>
                <w:sz w:val="22"/>
                <w:szCs w:val="22"/>
                <w:vertAlign w:val="superscript"/>
              </w:rPr>
              <w:t>a</w:t>
            </w:r>
          </w:p>
        </w:tc>
      </w:tr>
      <w:tr w14:paraId="52BDB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7B46A4CE">
            <w:pPr>
              <w:rPr>
                <w:color w:val="000000"/>
              </w:rPr>
            </w:pPr>
          </w:p>
        </w:tc>
        <w:tc>
          <w:tcPr>
            <w:tcW w:w="412" w:type="pct"/>
            <w:vMerge w:val="continue"/>
            <w:tcBorders>
              <w:top w:val="nil"/>
              <w:left w:val="nil"/>
              <w:bottom w:val="nil"/>
              <w:right w:val="nil"/>
            </w:tcBorders>
            <w:shd w:val="clear" w:color="auto" w:fill="FFFFFF"/>
            <w:vAlign w:val="center"/>
          </w:tcPr>
          <w:p w14:paraId="63816703">
            <w:pPr>
              <w:rPr>
                <w:color w:val="000000"/>
              </w:rPr>
            </w:pPr>
          </w:p>
        </w:tc>
        <w:tc>
          <w:tcPr>
            <w:tcW w:w="554" w:type="pct"/>
            <w:tcBorders>
              <w:top w:val="nil"/>
              <w:left w:val="nil"/>
              <w:bottom w:val="nil"/>
              <w:right w:val="nil"/>
            </w:tcBorders>
            <w:shd w:val="clear" w:color="auto" w:fill="FFFFFF"/>
            <w:vAlign w:val="center"/>
          </w:tcPr>
          <w:p w14:paraId="71A3C1F0">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711AB3B3">
            <w:pPr>
              <w:widowControl/>
              <w:jc w:val="center"/>
              <w:textAlignment w:val="center"/>
              <w:rPr>
                <w:color w:val="000000"/>
              </w:rPr>
            </w:pPr>
            <w:r>
              <w:rPr>
                <w:color w:val="000000"/>
                <w:kern w:val="0"/>
                <w:sz w:val="22"/>
                <w:szCs w:val="22"/>
              </w:rPr>
              <w:t>9.31</w:t>
            </w:r>
            <w:r>
              <w:rPr>
                <w:rFonts w:hint="eastAsia"/>
                <w:color w:val="000000"/>
                <w:kern w:val="0"/>
                <w:sz w:val="22"/>
                <w:szCs w:val="22"/>
              </w:rPr>
              <w:t>±0.12</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1CDC978E">
            <w:pPr>
              <w:widowControl/>
              <w:jc w:val="center"/>
              <w:textAlignment w:val="center"/>
              <w:rPr>
                <w:color w:val="000000"/>
              </w:rPr>
            </w:pPr>
            <w:r>
              <w:rPr>
                <w:color w:val="000000"/>
                <w:kern w:val="0"/>
                <w:sz w:val="22"/>
                <w:szCs w:val="22"/>
              </w:rPr>
              <w:t>7.90</w:t>
            </w:r>
            <w:r>
              <w:rPr>
                <w:rFonts w:hint="eastAsia"/>
                <w:color w:val="000000"/>
                <w:kern w:val="0"/>
                <w:sz w:val="22"/>
                <w:szCs w:val="22"/>
              </w:rPr>
              <w:t>±1.09</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5E4650BD">
            <w:pPr>
              <w:widowControl/>
              <w:jc w:val="center"/>
              <w:textAlignment w:val="center"/>
              <w:rPr>
                <w:color w:val="000000"/>
              </w:rPr>
            </w:pPr>
            <w:r>
              <w:rPr>
                <w:color w:val="000000"/>
                <w:kern w:val="0"/>
                <w:sz w:val="22"/>
                <w:szCs w:val="22"/>
              </w:rPr>
              <w:t>8.23</w:t>
            </w:r>
            <w:r>
              <w:rPr>
                <w:rFonts w:hint="eastAsia"/>
                <w:color w:val="000000"/>
                <w:kern w:val="0"/>
                <w:sz w:val="22"/>
                <w:szCs w:val="22"/>
              </w:rPr>
              <w:t>±0.11</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483E6306">
            <w:pPr>
              <w:widowControl/>
              <w:jc w:val="center"/>
              <w:textAlignment w:val="center"/>
              <w:rPr>
                <w:color w:val="000000"/>
              </w:rPr>
            </w:pPr>
            <w:r>
              <w:rPr>
                <w:color w:val="000000"/>
                <w:kern w:val="0"/>
                <w:sz w:val="22"/>
                <w:szCs w:val="22"/>
              </w:rPr>
              <w:t>10.18</w:t>
            </w:r>
            <w:r>
              <w:rPr>
                <w:rFonts w:hint="eastAsia"/>
                <w:color w:val="000000"/>
                <w:kern w:val="0"/>
                <w:sz w:val="22"/>
                <w:szCs w:val="22"/>
              </w:rPr>
              <w:t>±1.32</w:t>
            </w:r>
            <w:r>
              <w:rPr>
                <w:rFonts w:hint="eastAsia"/>
                <w:color w:val="000000"/>
                <w:kern w:val="0"/>
                <w:sz w:val="22"/>
                <w:szCs w:val="22"/>
                <w:vertAlign w:val="superscript"/>
              </w:rPr>
              <w:t>a</w:t>
            </w:r>
          </w:p>
        </w:tc>
      </w:tr>
      <w:tr w14:paraId="7AE7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3B45DD8E">
            <w:pPr>
              <w:rPr>
                <w:color w:val="000000"/>
              </w:rPr>
            </w:pPr>
          </w:p>
        </w:tc>
        <w:tc>
          <w:tcPr>
            <w:tcW w:w="412" w:type="pct"/>
            <w:vMerge w:val="continue"/>
            <w:tcBorders>
              <w:top w:val="nil"/>
              <w:left w:val="nil"/>
              <w:bottom w:val="nil"/>
              <w:right w:val="nil"/>
            </w:tcBorders>
            <w:shd w:val="clear" w:color="auto" w:fill="FFFFFF"/>
            <w:vAlign w:val="center"/>
          </w:tcPr>
          <w:p w14:paraId="62E6CAE8">
            <w:pPr>
              <w:rPr>
                <w:color w:val="000000"/>
              </w:rPr>
            </w:pPr>
          </w:p>
        </w:tc>
        <w:tc>
          <w:tcPr>
            <w:tcW w:w="554" w:type="pct"/>
            <w:tcBorders>
              <w:top w:val="nil"/>
              <w:left w:val="nil"/>
              <w:bottom w:val="nil"/>
              <w:right w:val="nil"/>
            </w:tcBorders>
            <w:shd w:val="clear" w:color="auto" w:fill="FFFFFF"/>
            <w:vAlign w:val="center"/>
          </w:tcPr>
          <w:p w14:paraId="72A59CF3">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1DA23113">
            <w:pPr>
              <w:widowControl/>
              <w:jc w:val="center"/>
              <w:textAlignment w:val="center"/>
              <w:rPr>
                <w:color w:val="000000"/>
              </w:rPr>
            </w:pPr>
            <w:r>
              <w:rPr>
                <w:color w:val="000000"/>
                <w:kern w:val="0"/>
                <w:sz w:val="22"/>
                <w:szCs w:val="22"/>
              </w:rPr>
              <w:t>10.57</w:t>
            </w:r>
            <w:r>
              <w:rPr>
                <w:rFonts w:hint="eastAsia"/>
                <w:color w:val="000000"/>
                <w:kern w:val="0"/>
                <w:sz w:val="22"/>
                <w:szCs w:val="22"/>
              </w:rPr>
              <w:t>±0.90</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25C84D58">
            <w:pPr>
              <w:widowControl/>
              <w:jc w:val="center"/>
              <w:textAlignment w:val="center"/>
              <w:rPr>
                <w:color w:val="000000"/>
              </w:rPr>
            </w:pPr>
            <w:r>
              <w:rPr>
                <w:color w:val="000000"/>
                <w:kern w:val="0"/>
                <w:sz w:val="22"/>
                <w:szCs w:val="22"/>
              </w:rPr>
              <w:t>9.35</w:t>
            </w:r>
            <w:r>
              <w:rPr>
                <w:rFonts w:hint="eastAsia"/>
                <w:color w:val="000000"/>
                <w:kern w:val="0"/>
                <w:sz w:val="22"/>
                <w:szCs w:val="22"/>
              </w:rPr>
              <w:t>±0.42</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3CE2730F">
            <w:pPr>
              <w:widowControl/>
              <w:jc w:val="center"/>
              <w:textAlignment w:val="center"/>
              <w:rPr>
                <w:color w:val="000000"/>
              </w:rPr>
            </w:pPr>
            <w:r>
              <w:rPr>
                <w:color w:val="000000"/>
                <w:kern w:val="0"/>
                <w:sz w:val="22"/>
                <w:szCs w:val="22"/>
              </w:rPr>
              <w:t>9.24</w:t>
            </w:r>
            <w:r>
              <w:rPr>
                <w:rFonts w:hint="eastAsia"/>
                <w:color w:val="000000"/>
                <w:kern w:val="0"/>
                <w:sz w:val="22"/>
                <w:szCs w:val="22"/>
              </w:rPr>
              <w:t>±1.11</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1B00A97F">
            <w:pPr>
              <w:widowControl/>
              <w:jc w:val="center"/>
              <w:textAlignment w:val="center"/>
              <w:rPr>
                <w:color w:val="000000"/>
              </w:rPr>
            </w:pPr>
            <w:r>
              <w:rPr>
                <w:color w:val="000000"/>
                <w:kern w:val="0"/>
                <w:sz w:val="22"/>
                <w:szCs w:val="22"/>
              </w:rPr>
              <w:t>10.21</w:t>
            </w:r>
            <w:r>
              <w:rPr>
                <w:rFonts w:hint="eastAsia"/>
                <w:color w:val="000000"/>
                <w:kern w:val="0"/>
                <w:sz w:val="22"/>
                <w:szCs w:val="22"/>
              </w:rPr>
              <w:t>±1.62</w:t>
            </w:r>
            <w:r>
              <w:rPr>
                <w:rFonts w:hint="eastAsia"/>
                <w:color w:val="000000"/>
                <w:kern w:val="0"/>
                <w:sz w:val="22"/>
                <w:szCs w:val="22"/>
                <w:vertAlign w:val="superscript"/>
              </w:rPr>
              <w:t>a</w:t>
            </w:r>
          </w:p>
        </w:tc>
      </w:tr>
      <w:tr w14:paraId="53AB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3AE57C41">
            <w:pPr>
              <w:rPr>
                <w:color w:val="000000"/>
              </w:rPr>
            </w:pPr>
          </w:p>
        </w:tc>
        <w:tc>
          <w:tcPr>
            <w:tcW w:w="412" w:type="pct"/>
            <w:vMerge w:val="restart"/>
            <w:tcBorders>
              <w:top w:val="nil"/>
              <w:left w:val="nil"/>
              <w:bottom w:val="nil"/>
              <w:right w:val="nil"/>
            </w:tcBorders>
            <w:shd w:val="clear" w:color="auto" w:fill="FFFFFF"/>
            <w:vAlign w:val="center"/>
          </w:tcPr>
          <w:p w14:paraId="29400958">
            <w:pPr>
              <w:jc w:val="center"/>
              <w:rPr>
                <w:color w:val="000000"/>
              </w:rPr>
            </w:pPr>
            <w:r>
              <w:rPr>
                <w:rFonts w:hint="eastAsia"/>
                <w:color w:val="000000"/>
              </w:rPr>
              <w:t>30d</w:t>
            </w:r>
          </w:p>
        </w:tc>
        <w:tc>
          <w:tcPr>
            <w:tcW w:w="554" w:type="pct"/>
            <w:tcBorders>
              <w:top w:val="nil"/>
              <w:left w:val="nil"/>
              <w:bottom w:val="nil"/>
              <w:right w:val="nil"/>
            </w:tcBorders>
            <w:shd w:val="clear" w:color="auto" w:fill="FFFFFF"/>
            <w:vAlign w:val="center"/>
          </w:tcPr>
          <w:p w14:paraId="00D25FBB">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1EDAEBAE">
            <w:pPr>
              <w:widowControl/>
              <w:jc w:val="center"/>
              <w:textAlignment w:val="center"/>
              <w:rPr>
                <w:color w:val="000000"/>
              </w:rPr>
            </w:pPr>
            <w:r>
              <w:rPr>
                <w:color w:val="000000"/>
                <w:kern w:val="0"/>
                <w:sz w:val="22"/>
                <w:szCs w:val="22"/>
              </w:rPr>
              <w:t>5.14</w:t>
            </w:r>
            <w:r>
              <w:rPr>
                <w:rFonts w:hint="eastAsia"/>
                <w:color w:val="000000"/>
                <w:kern w:val="0"/>
                <w:sz w:val="22"/>
                <w:szCs w:val="22"/>
              </w:rPr>
              <w:t>±0.20</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3B86048B">
            <w:pPr>
              <w:widowControl/>
              <w:jc w:val="center"/>
              <w:textAlignment w:val="center"/>
              <w:rPr>
                <w:color w:val="000000"/>
              </w:rPr>
            </w:pPr>
            <w:r>
              <w:rPr>
                <w:color w:val="000000"/>
                <w:kern w:val="0"/>
                <w:sz w:val="22"/>
                <w:szCs w:val="22"/>
              </w:rPr>
              <w:t>3.36</w:t>
            </w:r>
            <w:r>
              <w:rPr>
                <w:rFonts w:hint="eastAsia"/>
                <w:color w:val="000000"/>
                <w:kern w:val="0"/>
                <w:sz w:val="22"/>
                <w:szCs w:val="22"/>
              </w:rPr>
              <w:t>±0.33</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0296E902">
            <w:pPr>
              <w:widowControl/>
              <w:jc w:val="center"/>
              <w:textAlignment w:val="center"/>
              <w:rPr>
                <w:color w:val="000000"/>
              </w:rPr>
            </w:pPr>
            <w:r>
              <w:rPr>
                <w:color w:val="000000"/>
                <w:kern w:val="0"/>
                <w:sz w:val="22"/>
                <w:szCs w:val="22"/>
              </w:rPr>
              <w:t>3.36</w:t>
            </w:r>
            <w:r>
              <w:rPr>
                <w:rFonts w:hint="eastAsia"/>
                <w:color w:val="000000"/>
                <w:kern w:val="0"/>
                <w:sz w:val="22"/>
                <w:szCs w:val="22"/>
              </w:rPr>
              <w:t>±0.77</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0D2B9B7">
            <w:pPr>
              <w:widowControl/>
              <w:jc w:val="center"/>
              <w:textAlignment w:val="center"/>
              <w:rPr>
                <w:color w:val="000000"/>
              </w:rPr>
            </w:pPr>
            <w:r>
              <w:rPr>
                <w:color w:val="000000"/>
                <w:kern w:val="0"/>
                <w:sz w:val="22"/>
                <w:szCs w:val="22"/>
              </w:rPr>
              <w:t>3.74</w:t>
            </w:r>
            <w:r>
              <w:rPr>
                <w:rFonts w:hint="eastAsia"/>
                <w:color w:val="000000"/>
                <w:kern w:val="0"/>
                <w:sz w:val="22"/>
                <w:szCs w:val="22"/>
              </w:rPr>
              <w:t>±0.38</w:t>
            </w:r>
            <w:r>
              <w:rPr>
                <w:rFonts w:hint="eastAsia"/>
                <w:color w:val="000000"/>
                <w:kern w:val="0"/>
                <w:sz w:val="22"/>
                <w:szCs w:val="22"/>
                <w:vertAlign w:val="superscript"/>
              </w:rPr>
              <w:t>b</w:t>
            </w:r>
          </w:p>
        </w:tc>
      </w:tr>
      <w:tr w14:paraId="33B4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5A6EE84C">
            <w:pPr>
              <w:rPr>
                <w:color w:val="000000"/>
              </w:rPr>
            </w:pPr>
          </w:p>
        </w:tc>
        <w:tc>
          <w:tcPr>
            <w:tcW w:w="412" w:type="pct"/>
            <w:vMerge w:val="continue"/>
            <w:tcBorders>
              <w:top w:val="nil"/>
              <w:left w:val="nil"/>
              <w:bottom w:val="nil"/>
              <w:right w:val="nil"/>
            </w:tcBorders>
            <w:shd w:val="clear" w:color="auto" w:fill="FFFFFF"/>
            <w:vAlign w:val="center"/>
          </w:tcPr>
          <w:p w14:paraId="741AEA37">
            <w:pPr>
              <w:rPr>
                <w:color w:val="000000"/>
              </w:rPr>
            </w:pPr>
          </w:p>
        </w:tc>
        <w:tc>
          <w:tcPr>
            <w:tcW w:w="554" w:type="pct"/>
            <w:tcBorders>
              <w:top w:val="nil"/>
              <w:left w:val="nil"/>
              <w:bottom w:val="nil"/>
              <w:right w:val="nil"/>
            </w:tcBorders>
            <w:shd w:val="clear" w:color="auto" w:fill="FFFFFF"/>
            <w:vAlign w:val="center"/>
          </w:tcPr>
          <w:p w14:paraId="15AFC207">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70AD4BA9">
            <w:pPr>
              <w:widowControl/>
              <w:jc w:val="center"/>
              <w:textAlignment w:val="center"/>
              <w:rPr>
                <w:color w:val="000000"/>
              </w:rPr>
            </w:pPr>
            <w:r>
              <w:rPr>
                <w:color w:val="000000"/>
                <w:kern w:val="0"/>
                <w:sz w:val="22"/>
                <w:szCs w:val="22"/>
              </w:rPr>
              <w:t>7.61</w:t>
            </w:r>
            <w:r>
              <w:rPr>
                <w:rFonts w:hint="eastAsia"/>
                <w:color w:val="000000"/>
                <w:kern w:val="0"/>
                <w:sz w:val="22"/>
                <w:szCs w:val="22"/>
              </w:rPr>
              <w:t>±0.09</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786E443C">
            <w:pPr>
              <w:widowControl/>
              <w:jc w:val="center"/>
              <w:textAlignment w:val="center"/>
              <w:rPr>
                <w:bCs/>
                <w:color w:val="000000"/>
              </w:rPr>
            </w:pPr>
            <w:r>
              <w:rPr>
                <w:color w:val="000000"/>
                <w:kern w:val="0"/>
                <w:sz w:val="22"/>
                <w:szCs w:val="22"/>
              </w:rPr>
              <w:t>6.36</w:t>
            </w:r>
            <w:r>
              <w:rPr>
                <w:rFonts w:hint="eastAsia"/>
                <w:color w:val="000000"/>
                <w:kern w:val="0"/>
                <w:sz w:val="22"/>
                <w:szCs w:val="22"/>
              </w:rPr>
              <w:t>±0.35</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093FB517">
            <w:pPr>
              <w:widowControl/>
              <w:jc w:val="center"/>
              <w:textAlignment w:val="center"/>
              <w:rPr>
                <w:color w:val="000000"/>
              </w:rPr>
            </w:pPr>
            <w:r>
              <w:rPr>
                <w:color w:val="000000"/>
                <w:kern w:val="0"/>
                <w:sz w:val="22"/>
                <w:szCs w:val="22"/>
              </w:rPr>
              <w:t>5.79</w:t>
            </w:r>
            <w:r>
              <w:rPr>
                <w:rFonts w:hint="eastAsia"/>
                <w:color w:val="000000"/>
                <w:kern w:val="0"/>
                <w:sz w:val="22"/>
                <w:szCs w:val="22"/>
              </w:rPr>
              <w:t>±0.25</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56167942">
            <w:pPr>
              <w:widowControl/>
              <w:jc w:val="center"/>
              <w:textAlignment w:val="center"/>
              <w:rPr>
                <w:color w:val="000000"/>
              </w:rPr>
            </w:pPr>
            <w:r>
              <w:rPr>
                <w:color w:val="000000"/>
                <w:kern w:val="0"/>
                <w:sz w:val="22"/>
                <w:szCs w:val="22"/>
              </w:rPr>
              <w:t>7.98</w:t>
            </w:r>
            <w:r>
              <w:rPr>
                <w:rFonts w:hint="eastAsia"/>
                <w:color w:val="000000"/>
                <w:kern w:val="0"/>
                <w:sz w:val="22"/>
                <w:szCs w:val="22"/>
              </w:rPr>
              <w:t>±0.47</w:t>
            </w:r>
            <w:r>
              <w:rPr>
                <w:rFonts w:hint="eastAsia"/>
                <w:color w:val="000000"/>
                <w:kern w:val="0"/>
                <w:sz w:val="22"/>
                <w:szCs w:val="22"/>
                <w:vertAlign w:val="superscript"/>
              </w:rPr>
              <w:t>a</w:t>
            </w:r>
          </w:p>
        </w:tc>
      </w:tr>
      <w:tr w14:paraId="3938C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0FF6CA9C">
            <w:pPr>
              <w:rPr>
                <w:color w:val="000000"/>
              </w:rPr>
            </w:pPr>
          </w:p>
        </w:tc>
        <w:tc>
          <w:tcPr>
            <w:tcW w:w="412" w:type="pct"/>
            <w:vMerge w:val="continue"/>
            <w:tcBorders>
              <w:top w:val="nil"/>
              <w:left w:val="nil"/>
              <w:bottom w:val="nil"/>
              <w:right w:val="nil"/>
            </w:tcBorders>
            <w:shd w:val="clear" w:color="auto" w:fill="FFFFFF"/>
            <w:vAlign w:val="center"/>
          </w:tcPr>
          <w:p w14:paraId="11C8884D">
            <w:pPr>
              <w:rPr>
                <w:color w:val="000000"/>
              </w:rPr>
            </w:pPr>
          </w:p>
        </w:tc>
        <w:tc>
          <w:tcPr>
            <w:tcW w:w="554" w:type="pct"/>
            <w:tcBorders>
              <w:top w:val="nil"/>
              <w:left w:val="nil"/>
              <w:bottom w:val="nil"/>
              <w:right w:val="nil"/>
            </w:tcBorders>
            <w:shd w:val="clear" w:color="auto" w:fill="FFFFFF"/>
            <w:vAlign w:val="center"/>
          </w:tcPr>
          <w:p w14:paraId="430495E0">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797B6E6F">
            <w:pPr>
              <w:widowControl/>
              <w:jc w:val="center"/>
              <w:textAlignment w:val="center"/>
              <w:rPr>
                <w:color w:val="000000"/>
              </w:rPr>
            </w:pPr>
            <w:r>
              <w:rPr>
                <w:color w:val="000000"/>
                <w:kern w:val="0"/>
                <w:sz w:val="22"/>
                <w:szCs w:val="22"/>
              </w:rPr>
              <w:t>8.07</w:t>
            </w:r>
            <w:r>
              <w:rPr>
                <w:rFonts w:hint="eastAsia"/>
                <w:color w:val="000000"/>
                <w:kern w:val="0"/>
                <w:sz w:val="22"/>
                <w:szCs w:val="22"/>
              </w:rPr>
              <w:t>±0.57</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461D613D">
            <w:pPr>
              <w:widowControl/>
              <w:jc w:val="center"/>
              <w:textAlignment w:val="center"/>
              <w:rPr>
                <w:color w:val="000000"/>
              </w:rPr>
            </w:pPr>
            <w:r>
              <w:rPr>
                <w:color w:val="000000"/>
                <w:kern w:val="0"/>
                <w:sz w:val="22"/>
                <w:szCs w:val="22"/>
              </w:rPr>
              <w:t>7.28</w:t>
            </w:r>
            <w:r>
              <w:rPr>
                <w:rFonts w:hint="eastAsia"/>
                <w:color w:val="000000"/>
                <w:kern w:val="0"/>
                <w:sz w:val="22"/>
                <w:szCs w:val="22"/>
              </w:rPr>
              <w:t>±0.11</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D673818">
            <w:pPr>
              <w:widowControl/>
              <w:jc w:val="center"/>
              <w:textAlignment w:val="center"/>
              <w:rPr>
                <w:color w:val="000000"/>
              </w:rPr>
            </w:pPr>
            <w:r>
              <w:rPr>
                <w:color w:val="000000"/>
                <w:kern w:val="0"/>
                <w:sz w:val="22"/>
                <w:szCs w:val="22"/>
              </w:rPr>
              <w:t>7.44</w:t>
            </w:r>
            <w:r>
              <w:rPr>
                <w:rFonts w:hint="eastAsia"/>
                <w:color w:val="000000"/>
                <w:kern w:val="0"/>
                <w:sz w:val="22"/>
                <w:szCs w:val="22"/>
              </w:rPr>
              <w:t>±0.32</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2FA16063">
            <w:pPr>
              <w:widowControl/>
              <w:jc w:val="center"/>
              <w:textAlignment w:val="center"/>
              <w:rPr>
                <w:color w:val="000000"/>
              </w:rPr>
            </w:pPr>
            <w:r>
              <w:rPr>
                <w:color w:val="000000"/>
                <w:kern w:val="0"/>
                <w:sz w:val="22"/>
                <w:szCs w:val="22"/>
              </w:rPr>
              <w:t>8.66</w:t>
            </w:r>
            <w:r>
              <w:rPr>
                <w:rFonts w:hint="eastAsia"/>
                <w:color w:val="000000"/>
                <w:kern w:val="0"/>
                <w:sz w:val="22"/>
                <w:szCs w:val="22"/>
              </w:rPr>
              <w:t>±0.47</w:t>
            </w:r>
            <w:r>
              <w:rPr>
                <w:rFonts w:hint="eastAsia"/>
                <w:color w:val="000000"/>
                <w:kern w:val="0"/>
                <w:sz w:val="22"/>
                <w:szCs w:val="22"/>
                <w:vertAlign w:val="superscript"/>
              </w:rPr>
              <w:t>a</w:t>
            </w:r>
          </w:p>
        </w:tc>
      </w:tr>
      <w:tr w14:paraId="67E8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6E8A3AAC">
            <w:pPr>
              <w:rPr>
                <w:color w:val="000000"/>
              </w:rPr>
            </w:pPr>
          </w:p>
        </w:tc>
        <w:tc>
          <w:tcPr>
            <w:tcW w:w="412" w:type="pct"/>
            <w:vMerge w:val="continue"/>
            <w:tcBorders>
              <w:top w:val="nil"/>
              <w:left w:val="nil"/>
              <w:bottom w:val="nil"/>
              <w:right w:val="nil"/>
            </w:tcBorders>
            <w:shd w:val="clear" w:color="auto" w:fill="FFFFFF"/>
            <w:vAlign w:val="center"/>
          </w:tcPr>
          <w:p w14:paraId="0D0DEE6E">
            <w:pPr>
              <w:rPr>
                <w:color w:val="000000"/>
              </w:rPr>
            </w:pPr>
          </w:p>
        </w:tc>
        <w:tc>
          <w:tcPr>
            <w:tcW w:w="554" w:type="pct"/>
            <w:tcBorders>
              <w:top w:val="nil"/>
              <w:left w:val="nil"/>
              <w:bottom w:val="nil"/>
              <w:right w:val="nil"/>
            </w:tcBorders>
            <w:shd w:val="clear" w:color="auto" w:fill="FFFFFF"/>
            <w:vAlign w:val="center"/>
          </w:tcPr>
          <w:p w14:paraId="2B819C5D">
            <w:pPr>
              <w:jc w:val="center"/>
              <w:rPr>
                <w:color w:val="000000"/>
              </w:rPr>
            </w:pPr>
            <w:r>
              <w:rPr>
                <w:rFonts w:hint="eastAsia"/>
                <w:color w:val="000000"/>
              </w:rPr>
              <w:t>16</w:t>
            </w:r>
          </w:p>
        </w:tc>
        <w:tc>
          <w:tcPr>
            <w:tcW w:w="948" w:type="pct"/>
            <w:tcBorders>
              <w:top w:val="nil"/>
              <w:left w:val="nil"/>
              <w:bottom w:val="nil"/>
              <w:right w:val="nil"/>
            </w:tcBorders>
            <w:shd w:val="clear" w:color="auto" w:fill="FFFFFF"/>
            <w:vAlign w:val="center"/>
          </w:tcPr>
          <w:p w14:paraId="51846923">
            <w:pPr>
              <w:widowControl/>
              <w:jc w:val="center"/>
              <w:textAlignment w:val="center"/>
              <w:rPr>
                <w:color w:val="000000"/>
              </w:rPr>
            </w:pPr>
            <w:r>
              <w:rPr>
                <w:color w:val="000000"/>
                <w:kern w:val="0"/>
                <w:sz w:val="22"/>
                <w:szCs w:val="22"/>
              </w:rPr>
              <w:t>9.46</w:t>
            </w:r>
            <w:r>
              <w:rPr>
                <w:rFonts w:hint="eastAsia"/>
                <w:color w:val="000000"/>
                <w:kern w:val="0"/>
                <w:sz w:val="22"/>
                <w:szCs w:val="22"/>
              </w:rPr>
              <w:t>±0.10</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3CE9C2FC">
            <w:pPr>
              <w:widowControl/>
              <w:jc w:val="center"/>
              <w:textAlignment w:val="center"/>
              <w:rPr>
                <w:color w:val="000000"/>
              </w:rPr>
            </w:pPr>
            <w:r>
              <w:rPr>
                <w:color w:val="000000"/>
                <w:kern w:val="0"/>
                <w:sz w:val="22"/>
                <w:szCs w:val="22"/>
              </w:rPr>
              <w:t>8.39</w:t>
            </w:r>
            <w:r>
              <w:rPr>
                <w:rFonts w:hint="eastAsia"/>
                <w:color w:val="000000"/>
                <w:kern w:val="0"/>
                <w:sz w:val="22"/>
                <w:szCs w:val="22"/>
              </w:rPr>
              <w:t>±0.25</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0B70C858">
            <w:pPr>
              <w:widowControl/>
              <w:jc w:val="center"/>
              <w:textAlignment w:val="center"/>
              <w:rPr>
                <w:color w:val="000000"/>
              </w:rPr>
            </w:pPr>
            <w:r>
              <w:rPr>
                <w:color w:val="000000"/>
                <w:kern w:val="0"/>
                <w:sz w:val="22"/>
                <w:szCs w:val="22"/>
              </w:rPr>
              <w:t>8.55</w:t>
            </w:r>
            <w:r>
              <w:rPr>
                <w:rFonts w:hint="eastAsia"/>
                <w:color w:val="000000"/>
                <w:kern w:val="0"/>
                <w:sz w:val="22"/>
                <w:szCs w:val="22"/>
              </w:rPr>
              <w:t>±0.23</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1888AF64">
            <w:pPr>
              <w:widowControl/>
              <w:jc w:val="center"/>
              <w:textAlignment w:val="center"/>
              <w:rPr>
                <w:bCs/>
                <w:color w:val="000000"/>
              </w:rPr>
            </w:pPr>
            <w:r>
              <w:rPr>
                <w:color w:val="000000"/>
                <w:kern w:val="0"/>
                <w:sz w:val="22"/>
                <w:szCs w:val="22"/>
              </w:rPr>
              <w:t>8.65</w:t>
            </w:r>
            <w:r>
              <w:rPr>
                <w:rFonts w:hint="eastAsia"/>
                <w:color w:val="000000"/>
                <w:kern w:val="0"/>
                <w:sz w:val="22"/>
                <w:szCs w:val="22"/>
              </w:rPr>
              <w:t>±0.18</w:t>
            </w:r>
            <w:r>
              <w:rPr>
                <w:rFonts w:hint="eastAsia"/>
                <w:color w:val="000000"/>
                <w:kern w:val="0"/>
                <w:sz w:val="22"/>
                <w:szCs w:val="22"/>
                <w:vertAlign w:val="superscript"/>
              </w:rPr>
              <w:t>a</w:t>
            </w:r>
          </w:p>
        </w:tc>
      </w:tr>
      <w:tr w14:paraId="7FA0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41FB5EE4">
            <w:pPr>
              <w:rPr>
                <w:color w:val="000000"/>
              </w:rPr>
            </w:pPr>
          </w:p>
        </w:tc>
        <w:tc>
          <w:tcPr>
            <w:tcW w:w="412" w:type="pct"/>
            <w:vMerge w:val="restart"/>
            <w:tcBorders>
              <w:top w:val="nil"/>
              <w:left w:val="nil"/>
              <w:bottom w:val="nil"/>
              <w:right w:val="nil"/>
            </w:tcBorders>
            <w:shd w:val="clear" w:color="auto" w:fill="FFFFFF"/>
            <w:vAlign w:val="center"/>
          </w:tcPr>
          <w:p w14:paraId="5EC3B7A2">
            <w:pPr>
              <w:jc w:val="center"/>
              <w:rPr>
                <w:color w:val="000000"/>
              </w:rPr>
            </w:pPr>
            <w:r>
              <w:rPr>
                <w:rFonts w:hint="eastAsia"/>
                <w:color w:val="000000"/>
              </w:rPr>
              <w:t>40d</w:t>
            </w:r>
          </w:p>
        </w:tc>
        <w:tc>
          <w:tcPr>
            <w:tcW w:w="554" w:type="pct"/>
            <w:tcBorders>
              <w:top w:val="nil"/>
              <w:left w:val="nil"/>
              <w:bottom w:val="nil"/>
              <w:right w:val="nil"/>
            </w:tcBorders>
            <w:shd w:val="clear" w:color="auto" w:fill="FFFFFF"/>
            <w:vAlign w:val="center"/>
          </w:tcPr>
          <w:p w14:paraId="7959E1C5">
            <w:pPr>
              <w:spacing w:line="360" w:lineRule="auto"/>
              <w:jc w:val="center"/>
              <w:rPr>
                <w:color w:val="000000"/>
              </w:rPr>
            </w:pPr>
            <w:r>
              <w:rPr>
                <w:rFonts w:hint="eastAsia"/>
                <w:color w:val="000000"/>
              </w:rPr>
              <w:t>4</w:t>
            </w:r>
          </w:p>
        </w:tc>
        <w:tc>
          <w:tcPr>
            <w:tcW w:w="948" w:type="pct"/>
            <w:tcBorders>
              <w:top w:val="nil"/>
              <w:left w:val="nil"/>
              <w:bottom w:val="nil"/>
              <w:right w:val="nil"/>
            </w:tcBorders>
            <w:shd w:val="clear" w:color="auto" w:fill="FFFFFF"/>
            <w:vAlign w:val="center"/>
          </w:tcPr>
          <w:p w14:paraId="62BBA285">
            <w:pPr>
              <w:widowControl/>
              <w:jc w:val="center"/>
              <w:textAlignment w:val="center"/>
              <w:rPr>
                <w:color w:val="000000"/>
              </w:rPr>
            </w:pPr>
            <w:r>
              <w:rPr>
                <w:color w:val="000000"/>
                <w:kern w:val="0"/>
                <w:sz w:val="22"/>
                <w:szCs w:val="22"/>
              </w:rPr>
              <w:t>4.39</w:t>
            </w:r>
            <w:r>
              <w:rPr>
                <w:rFonts w:hint="eastAsia"/>
                <w:color w:val="000000"/>
                <w:kern w:val="0"/>
                <w:sz w:val="22"/>
                <w:szCs w:val="22"/>
              </w:rPr>
              <w:t>±0.34</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42A0223A">
            <w:pPr>
              <w:widowControl/>
              <w:jc w:val="center"/>
              <w:textAlignment w:val="center"/>
              <w:rPr>
                <w:color w:val="000000"/>
              </w:rPr>
            </w:pPr>
            <w:r>
              <w:rPr>
                <w:color w:val="000000"/>
                <w:kern w:val="0"/>
                <w:sz w:val="22"/>
                <w:szCs w:val="22"/>
              </w:rPr>
              <w:t>3.06</w:t>
            </w:r>
            <w:r>
              <w:rPr>
                <w:rFonts w:hint="eastAsia"/>
                <w:color w:val="000000"/>
                <w:kern w:val="0"/>
                <w:sz w:val="22"/>
                <w:szCs w:val="22"/>
              </w:rPr>
              <w:t>±0.50</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5C6F0825">
            <w:pPr>
              <w:widowControl/>
              <w:jc w:val="center"/>
              <w:textAlignment w:val="center"/>
              <w:rPr>
                <w:color w:val="000000"/>
              </w:rPr>
            </w:pPr>
            <w:r>
              <w:rPr>
                <w:color w:val="000000"/>
                <w:kern w:val="0"/>
                <w:sz w:val="22"/>
                <w:szCs w:val="22"/>
              </w:rPr>
              <w:t>3.06</w:t>
            </w:r>
            <w:r>
              <w:rPr>
                <w:rFonts w:hint="eastAsia"/>
                <w:color w:val="000000"/>
                <w:kern w:val="0"/>
                <w:sz w:val="22"/>
                <w:szCs w:val="22"/>
              </w:rPr>
              <w:t>±1.07</w:t>
            </w:r>
            <w:r>
              <w:rPr>
                <w:rFonts w:hint="eastAsia"/>
                <w:color w:val="000000"/>
                <w:kern w:val="0"/>
                <w:sz w:val="22"/>
                <w:szCs w:val="22"/>
                <w:vertAlign w:val="superscript"/>
              </w:rPr>
              <w:t>a</w:t>
            </w:r>
          </w:p>
        </w:tc>
        <w:tc>
          <w:tcPr>
            <w:tcW w:w="903" w:type="pct"/>
            <w:tcBorders>
              <w:top w:val="nil"/>
              <w:left w:val="nil"/>
              <w:bottom w:val="nil"/>
              <w:right w:val="nil"/>
            </w:tcBorders>
            <w:shd w:val="clear" w:color="auto" w:fill="FFFFFF"/>
            <w:vAlign w:val="center"/>
          </w:tcPr>
          <w:p w14:paraId="7770B224">
            <w:pPr>
              <w:widowControl/>
              <w:jc w:val="center"/>
              <w:textAlignment w:val="center"/>
              <w:rPr>
                <w:color w:val="000000"/>
              </w:rPr>
            </w:pPr>
            <w:r>
              <w:rPr>
                <w:color w:val="000000"/>
                <w:kern w:val="0"/>
                <w:sz w:val="22"/>
                <w:szCs w:val="22"/>
              </w:rPr>
              <w:t>3.76</w:t>
            </w:r>
            <w:r>
              <w:rPr>
                <w:rFonts w:hint="eastAsia"/>
                <w:color w:val="000000"/>
                <w:kern w:val="0"/>
                <w:sz w:val="22"/>
                <w:szCs w:val="22"/>
              </w:rPr>
              <w:t>±0.90</w:t>
            </w:r>
            <w:r>
              <w:rPr>
                <w:rFonts w:hint="eastAsia"/>
                <w:color w:val="000000"/>
                <w:kern w:val="0"/>
                <w:sz w:val="22"/>
                <w:szCs w:val="22"/>
                <w:vertAlign w:val="superscript"/>
              </w:rPr>
              <w:t>a</w:t>
            </w:r>
          </w:p>
        </w:tc>
      </w:tr>
      <w:tr w14:paraId="67F3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33C09FCA">
            <w:pPr>
              <w:rPr>
                <w:color w:val="000000"/>
              </w:rPr>
            </w:pPr>
          </w:p>
        </w:tc>
        <w:tc>
          <w:tcPr>
            <w:tcW w:w="412" w:type="pct"/>
            <w:vMerge w:val="continue"/>
            <w:tcBorders>
              <w:top w:val="nil"/>
              <w:left w:val="nil"/>
              <w:bottom w:val="nil"/>
              <w:right w:val="nil"/>
            </w:tcBorders>
            <w:shd w:val="clear" w:color="auto" w:fill="FFFFFF"/>
            <w:vAlign w:val="center"/>
          </w:tcPr>
          <w:p w14:paraId="0987FD80">
            <w:pPr>
              <w:rPr>
                <w:color w:val="000000"/>
              </w:rPr>
            </w:pPr>
          </w:p>
        </w:tc>
        <w:tc>
          <w:tcPr>
            <w:tcW w:w="554" w:type="pct"/>
            <w:tcBorders>
              <w:top w:val="nil"/>
              <w:left w:val="nil"/>
              <w:bottom w:val="nil"/>
              <w:right w:val="nil"/>
            </w:tcBorders>
            <w:shd w:val="clear" w:color="auto" w:fill="FFFFFF"/>
            <w:vAlign w:val="center"/>
          </w:tcPr>
          <w:p w14:paraId="033B5A42">
            <w:pPr>
              <w:jc w:val="center"/>
              <w:rPr>
                <w:color w:val="000000"/>
              </w:rPr>
            </w:pPr>
            <w:r>
              <w:rPr>
                <w:rFonts w:hint="eastAsia"/>
                <w:color w:val="000000"/>
              </w:rPr>
              <w:t>8</w:t>
            </w:r>
          </w:p>
        </w:tc>
        <w:tc>
          <w:tcPr>
            <w:tcW w:w="948" w:type="pct"/>
            <w:tcBorders>
              <w:top w:val="nil"/>
              <w:left w:val="nil"/>
              <w:bottom w:val="nil"/>
              <w:right w:val="nil"/>
            </w:tcBorders>
            <w:shd w:val="clear" w:color="auto" w:fill="FFFFFF"/>
            <w:vAlign w:val="center"/>
          </w:tcPr>
          <w:p w14:paraId="3BF94771">
            <w:pPr>
              <w:widowControl/>
              <w:jc w:val="center"/>
              <w:textAlignment w:val="center"/>
              <w:rPr>
                <w:color w:val="000000"/>
              </w:rPr>
            </w:pPr>
            <w:r>
              <w:rPr>
                <w:color w:val="000000"/>
                <w:kern w:val="0"/>
                <w:sz w:val="22"/>
                <w:szCs w:val="22"/>
              </w:rPr>
              <w:t>6.43</w:t>
            </w:r>
            <w:r>
              <w:rPr>
                <w:rFonts w:hint="eastAsia"/>
                <w:color w:val="000000"/>
                <w:kern w:val="0"/>
                <w:sz w:val="22"/>
                <w:szCs w:val="22"/>
              </w:rPr>
              <w:t>±1.28</w:t>
            </w:r>
            <w:r>
              <w:rPr>
                <w:rFonts w:hint="eastAsia"/>
                <w:color w:val="000000"/>
                <w:kern w:val="0"/>
                <w:sz w:val="22"/>
                <w:szCs w:val="22"/>
                <w:vertAlign w:val="superscript"/>
              </w:rPr>
              <w:t>ab</w:t>
            </w:r>
          </w:p>
        </w:tc>
        <w:tc>
          <w:tcPr>
            <w:tcW w:w="865" w:type="pct"/>
            <w:tcBorders>
              <w:top w:val="nil"/>
              <w:left w:val="nil"/>
              <w:bottom w:val="nil"/>
              <w:right w:val="nil"/>
            </w:tcBorders>
            <w:shd w:val="clear" w:color="auto" w:fill="FFFFFF"/>
            <w:vAlign w:val="center"/>
          </w:tcPr>
          <w:p w14:paraId="55A8519C">
            <w:pPr>
              <w:widowControl/>
              <w:jc w:val="center"/>
              <w:textAlignment w:val="center"/>
              <w:rPr>
                <w:color w:val="000000"/>
              </w:rPr>
            </w:pPr>
            <w:r>
              <w:rPr>
                <w:color w:val="000000"/>
                <w:kern w:val="0"/>
                <w:sz w:val="22"/>
                <w:szCs w:val="22"/>
              </w:rPr>
              <w:t>5.95</w:t>
            </w:r>
            <w:r>
              <w:rPr>
                <w:rFonts w:hint="eastAsia"/>
                <w:color w:val="000000"/>
                <w:kern w:val="0"/>
                <w:sz w:val="22"/>
                <w:szCs w:val="22"/>
              </w:rPr>
              <w:t>±0.79</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21E977AC">
            <w:pPr>
              <w:widowControl/>
              <w:jc w:val="center"/>
              <w:textAlignment w:val="center"/>
              <w:rPr>
                <w:color w:val="000000"/>
              </w:rPr>
            </w:pPr>
            <w:r>
              <w:rPr>
                <w:color w:val="000000"/>
                <w:kern w:val="0"/>
                <w:sz w:val="22"/>
                <w:szCs w:val="22"/>
              </w:rPr>
              <w:t>4.90</w:t>
            </w:r>
            <w:r>
              <w:rPr>
                <w:rFonts w:hint="eastAsia"/>
                <w:color w:val="000000"/>
                <w:kern w:val="0"/>
                <w:sz w:val="22"/>
                <w:szCs w:val="22"/>
              </w:rPr>
              <w:t>±0.06</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77BC7150">
            <w:pPr>
              <w:widowControl/>
              <w:jc w:val="center"/>
              <w:textAlignment w:val="center"/>
              <w:rPr>
                <w:color w:val="000000"/>
              </w:rPr>
            </w:pPr>
            <w:r>
              <w:rPr>
                <w:color w:val="000000"/>
                <w:kern w:val="0"/>
                <w:sz w:val="22"/>
                <w:szCs w:val="22"/>
              </w:rPr>
              <w:t>7.36</w:t>
            </w:r>
            <w:r>
              <w:rPr>
                <w:rFonts w:hint="eastAsia"/>
                <w:color w:val="000000"/>
                <w:kern w:val="0"/>
                <w:sz w:val="22"/>
                <w:szCs w:val="22"/>
              </w:rPr>
              <w:t>±0.47</w:t>
            </w:r>
            <w:r>
              <w:rPr>
                <w:rFonts w:hint="eastAsia"/>
                <w:color w:val="000000"/>
                <w:kern w:val="0"/>
                <w:sz w:val="22"/>
                <w:szCs w:val="22"/>
                <w:vertAlign w:val="superscript"/>
              </w:rPr>
              <w:t>a</w:t>
            </w:r>
          </w:p>
        </w:tc>
      </w:tr>
      <w:tr w14:paraId="1BDB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nil"/>
              <w:right w:val="nil"/>
            </w:tcBorders>
            <w:shd w:val="clear" w:color="auto" w:fill="FFFFFF"/>
            <w:vAlign w:val="center"/>
          </w:tcPr>
          <w:p w14:paraId="030075ED">
            <w:pPr>
              <w:rPr>
                <w:color w:val="000000"/>
              </w:rPr>
            </w:pPr>
          </w:p>
        </w:tc>
        <w:tc>
          <w:tcPr>
            <w:tcW w:w="412" w:type="pct"/>
            <w:vMerge w:val="continue"/>
            <w:tcBorders>
              <w:top w:val="nil"/>
              <w:left w:val="nil"/>
              <w:bottom w:val="nil"/>
              <w:right w:val="nil"/>
            </w:tcBorders>
            <w:shd w:val="clear" w:color="auto" w:fill="FFFFFF"/>
            <w:vAlign w:val="center"/>
          </w:tcPr>
          <w:p w14:paraId="28AF7926">
            <w:pPr>
              <w:rPr>
                <w:color w:val="000000"/>
              </w:rPr>
            </w:pPr>
          </w:p>
        </w:tc>
        <w:tc>
          <w:tcPr>
            <w:tcW w:w="554" w:type="pct"/>
            <w:tcBorders>
              <w:top w:val="nil"/>
              <w:left w:val="nil"/>
              <w:bottom w:val="nil"/>
              <w:right w:val="nil"/>
            </w:tcBorders>
            <w:shd w:val="clear" w:color="auto" w:fill="FFFFFF"/>
            <w:vAlign w:val="center"/>
          </w:tcPr>
          <w:p w14:paraId="1809BB39">
            <w:pPr>
              <w:jc w:val="center"/>
              <w:rPr>
                <w:color w:val="000000"/>
              </w:rPr>
            </w:pPr>
            <w:r>
              <w:rPr>
                <w:rFonts w:hint="eastAsia"/>
                <w:color w:val="000000"/>
              </w:rPr>
              <w:t>12</w:t>
            </w:r>
          </w:p>
        </w:tc>
        <w:tc>
          <w:tcPr>
            <w:tcW w:w="948" w:type="pct"/>
            <w:tcBorders>
              <w:top w:val="nil"/>
              <w:left w:val="nil"/>
              <w:bottom w:val="nil"/>
              <w:right w:val="nil"/>
            </w:tcBorders>
            <w:shd w:val="clear" w:color="auto" w:fill="FFFFFF"/>
            <w:vAlign w:val="center"/>
          </w:tcPr>
          <w:p w14:paraId="42CA02BC">
            <w:pPr>
              <w:widowControl/>
              <w:jc w:val="center"/>
              <w:textAlignment w:val="center"/>
              <w:rPr>
                <w:color w:val="000000"/>
              </w:rPr>
            </w:pPr>
            <w:r>
              <w:rPr>
                <w:color w:val="000000"/>
                <w:kern w:val="0"/>
                <w:sz w:val="22"/>
                <w:szCs w:val="22"/>
              </w:rPr>
              <w:t>8.13</w:t>
            </w:r>
            <w:r>
              <w:rPr>
                <w:rFonts w:hint="eastAsia"/>
                <w:color w:val="000000"/>
                <w:kern w:val="0"/>
                <w:sz w:val="22"/>
                <w:szCs w:val="22"/>
              </w:rPr>
              <w:t>±0.42</w:t>
            </w:r>
            <w:r>
              <w:rPr>
                <w:rFonts w:hint="eastAsia"/>
                <w:color w:val="000000"/>
                <w:kern w:val="0"/>
                <w:sz w:val="22"/>
                <w:szCs w:val="22"/>
                <w:vertAlign w:val="superscript"/>
              </w:rPr>
              <w:t>a</w:t>
            </w:r>
          </w:p>
        </w:tc>
        <w:tc>
          <w:tcPr>
            <w:tcW w:w="865" w:type="pct"/>
            <w:tcBorders>
              <w:top w:val="nil"/>
              <w:left w:val="nil"/>
              <w:bottom w:val="nil"/>
              <w:right w:val="nil"/>
            </w:tcBorders>
            <w:shd w:val="clear" w:color="auto" w:fill="FFFFFF"/>
            <w:vAlign w:val="center"/>
          </w:tcPr>
          <w:p w14:paraId="2528FA5A">
            <w:pPr>
              <w:widowControl/>
              <w:jc w:val="center"/>
              <w:textAlignment w:val="center"/>
              <w:rPr>
                <w:color w:val="000000"/>
              </w:rPr>
            </w:pPr>
            <w:r>
              <w:rPr>
                <w:color w:val="000000"/>
                <w:kern w:val="0"/>
                <w:sz w:val="22"/>
                <w:szCs w:val="22"/>
              </w:rPr>
              <w:t>6.91</w:t>
            </w:r>
            <w:r>
              <w:rPr>
                <w:rFonts w:hint="eastAsia"/>
                <w:color w:val="000000"/>
                <w:kern w:val="0"/>
                <w:sz w:val="22"/>
                <w:szCs w:val="22"/>
              </w:rPr>
              <w:t>±0.26</w:t>
            </w:r>
            <w:r>
              <w:rPr>
                <w:rFonts w:hint="eastAsia"/>
                <w:color w:val="000000"/>
                <w:kern w:val="0"/>
                <w:sz w:val="22"/>
                <w:szCs w:val="22"/>
                <w:vertAlign w:val="superscript"/>
              </w:rPr>
              <w:t>ab</w:t>
            </w:r>
          </w:p>
        </w:tc>
        <w:tc>
          <w:tcPr>
            <w:tcW w:w="903" w:type="pct"/>
            <w:tcBorders>
              <w:top w:val="nil"/>
              <w:left w:val="nil"/>
              <w:bottom w:val="nil"/>
              <w:right w:val="nil"/>
            </w:tcBorders>
            <w:shd w:val="clear" w:color="auto" w:fill="FFFFFF"/>
            <w:vAlign w:val="center"/>
          </w:tcPr>
          <w:p w14:paraId="06AF09F1">
            <w:pPr>
              <w:widowControl/>
              <w:jc w:val="center"/>
              <w:textAlignment w:val="center"/>
              <w:rPr>
                <w:color w:val="000000"/>
              </w:rPr>
            </w:pPr>
            <w:r>
              <w:rPr>
                <w:color w:val="000000"/>
                <w:kern w:val="0"/>
                <w:sz w:val="22"/>
                <w:szCs w:val="22"/>
              </w:rPr>
              <w:t>6.26</w:t>
            </w:r>
            <w:r>
              <w:rPr>
                <w:rFonts w:hint="eastAsia"/>
                <w:color w:val="000000"/>
                <w:kern w:val="0"/>
                <w:sz w:val="22"/>
                <w:szCs w:val="22"/>
              </w:rPr>
              <w:t>±0.50</w:t>
            </w:r>
            <w:r>
              <w:rPr>
                <w:rFonts w:hint="eastAsia"/>
                <w:color w:val="000000"/>
                <w:kern w:val="0"/>
                <w:sz w:val="22"/>
                <w:szCs w:val="22"/>
                <w:vertAlign w:val="superscript"/>
              </w:rPr>
              <w:t>b</w:t>
            </w:r>
          </w:p>
        </w:tc>
        <w:tc>
          <w:tcPr>
            <w:tcW w:w="903" w:type="pct"/>
            <w:tcBorders>
              <w:top w:val="nil"/>
              <w:left w:val="nil"/>
              <w:bottom w:val="nil"/>
              <w:right w:val="nil"/>
            </w:tcBorders>
            <w:shd w:val="clear" w:color="auto" w:fill="FFFFFF"/>
            <w:vAlign w:val="center"/>
          </w:tcPr>
          <w:p w14:paraId="69C4766F">
            <w:pPr>
              <w:widowControl/>
              <w:jc w:val="center"/>
              <w:textAlignment w:val="center"/>
              <w:rPr>
                <w:color w:val="000000"/>
              </w:rPr>
            </w:pPr>
            <w:r>
              <w:rPr>
                <w:color w:val="000000"/>
                <w:kern w:val="0"/>
                <w:sz w:val="22"/>
                <w:szCs w:val="22"/>
              </w:rPr>
              <w:t>8.36</w:t>
            </w:r>
            <w:r>
              <w:rPr>
                <w:rFonts w:hint="eastAsia"/>
                <w:color w:val="000000"/>
                <w:kern w:val="0"/>
                <w:sz w:val="22"/>
                <w:szCs w:val="22"/>
              </w:rPr>
              <w:t>±0.27</w:t>
            </w:r>
            <w:r>
              <w:rPr>
                <w:rFonts w:hint="eastAsia"/>
                <w:color w:val="000000"/>
                <w:kern w:val="0"/>
                <w:sz w:val="22"/>
                <w:szCs w:val="22"/>
                <w:vertAlign w:val="superscript"/>
              </w:rPr>
              <w:t>a</w:t>
            </w:r>
          </w:p>
        </w:tc>
      </w:tr>
      <w:tr w14:paraId="79323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2" w:type="pct"/>
            <w:vMerge w:val="continue"/>
            <w:tcBorders>
              <w:top w:val="nil"/>
              <w:left w:val="nil"/>
              <w:bottom w:val="single" w:color="000000" w:sz="12" w:space="0"/>
              <w:right w:val="nil"/>
            </w:tcBorders>
            <w:shd w:val="clear" w:color="auto" w:fill="FFFFFF"/>
            <w:vAlign w:val="center"/>
          </w:tcPr>
          <w:p w14:paraId="15F07140">
            <w:pPr>
              <w:rPr>
                <w:color w:val="000000"/>
              </w:rPr>
            </w:pPr>
          </w:p>
        </w:tc>
        <w:tc>
          <w:tcPr>
            <w:tcW w:w="412" w:type="pct"/>
            <w:vMerge w:val="continue"/>
            <w:tcBorders>
              <w:top w:val="nil"/>
              <w:left w:val="nil"/>
              <w:bottom w:val="single" w:color="000000" w:sz="12" w:space="0"/>
              <w:right w:val="nil"/>
            </w:tcBorders>
            <w:shd w:val="clear" w:color="auto" w:fill="FFFFFF"/>
            <w:vAlign w:val="center"/>
          </w:tcPr>
          <w:p w14:paraId="322A1D75">
            <w:pPr>
              <w:rPr>
                <w:color w:val="000000"/>
              </w:rPr>
            </w:pPr>
          </w:p>
        </w:tc>
        <w:tc>
          <w:tcPr>
            <w:tcW w:w="554" w:type="pct"/>
            <w:tcBorders>
              <w:top w:val="nil"/>
              <w:left w:val="nil"/>
              <w:bottom w:val="single" w:color="000000" w:sz="12" w:space="0"/>
              <w:right w:val="nil"/>
            </w:tcBorders>
            <w:shd w:val="clear" w:color="auto" w:fill="FFFFFF"/>
            <w:vAlign w:val="center"/>
          </w:tcPr>
          <w:p w14:paraId="5CD4BD8F">
            <w:pPr>
              <w:jc w:val="center"/>
              <w:rPr>
                <w:color w:val="000000"/>
              </w:rPr>
            </w:pPr>
            <w:r>
              <w:rPr>
                <w:rFonts w:hint="eastAsia"/>
                <w:color w:val="000000"/>
              </w:rPr>
              <w:t>16</w:t>
            </w:r>
          </w:p>
        </w:tc>
        <w:tc>
          <w:tcPr>
            <w:tcW w:w="948" w:type="pct"/>
            <w:tcBorders>
              <w:top w:val="nil"/>
              <w:left w:val="nil"/>
              <w:bottom w:val="single" w:color="000000" w:sz="12" w:space="0"/>
              <w:right w:val="nil"/>
            </w:tcBorders>
            <w:shd w:val="clear" w:color="auto" w:fill="FFFFFF"/>
            <w:vAlign w:val="center"/>
          </w:tcPr>
          <w:p w14:paraId="7BD80576">
            <w:pPr>
              <w:widowControl/>
              <w:jc w:val="center"/>
              <w:textAlignment w:val="center"/>
              <w:rPr>
                <w:color w:val="000000"/>
              </w:rPr>
            </w:pPr>
            <w:r>
              <w:rPr>
                <w:color w:val="000000"/>
                <w:kern w:val="0"/>
                <w:sz w:val="22"/>
                <w:szCs w:val="22"/>
              </w:rPr>
              <w:t>9.02</w:t>
            </w:r>
            <w:r>
              <w:rPr>
                <w:rFonts w:hint="eastAsia"/>
                <w:color w:val="000000"/>
                <w:kern w:val="0"/>
                <w:sz w:val="22"/>
                <w:szCs w:val="22"/>
              </w:rPr>
              <w:t>±0.61</w:t>
            </w:r>
            <w:r>
              <w:rPr>
                <w:rFonts w:hint="eastAsia"/>
                <w:color w:val="000000"/>
                <w:kern w:val="0"/>
                <w:sz w:val="22"/>
                <w:szCs w:val="22"/>
                <w:vertAlign w:val="superscript"/>
              </w:rPr>
              <w:t>a</w:t>
            </w:r>
          </w:p>
        </w:tc>
        <w:tc>
          <w:tcPr>
            <w:tcW w:w="865" w:type="pct"/>
            <w:tcBorders>
              <w:top w:val="nil"/>
              <w:left w:val="nil"/>
              <w:bottom w:val="single" w:color="000000" w:sz="12" w:space="0"/>
              <w:right w:val="nil"/>
            </w:tcBorders>
            <w:shd w:val="clear" w:color="auto" w:fill="FFFFFF"/>
            <w:vAlign w:val="center"/>
          </w:tcPr>
          <w:p w14:paraId="42508197">
            <w:pPr>
              <w:widowControl/>
              <w:jc w:val="center"/>
              <w:textAlignment w:val="center"/>
              <w:rPr>
                <w:color w:val="000000"/>
              </w:rPr>
            </w:pPr>
            <w:r>
              <w:rPr>
                <w:color w:val="000000"/>
                <w:kern w:val="0"/>
                <w:sz w:val="22"/>
                <w:szCs w:val="22"/>
              </w:rPr>
              <w:t>7.51</w:t>
            </w:r>
            <w:r>
              <w:rPr>
                <w:rFonts w:hint="eastAsia"/>
                <w:color w:val="000000"/>
                <w:kern w:val="0"/>
                <w:sz w:val="22"/>
                <w:szCs w:val="22"/>
              </w:rPr>
              <w:t>±0.05</w:t>
            </w:r>
            <w:r>
              <w:rPr>
                <w:rFonts w:hint="eastAsia"/>
                <w:color w:val="000000"/>
                <w:kern w:val="0"/>
                <w:sz w:val="22"/>
                <w:szCs w:val="22"/>
                <w:vertAlign w:val="superscript"/>
              </w:rPr>
              <w:t>a</w:t>
            </w:r>
          </w:p>
        </w:tc>
        <w:tc>
          <w:tcPr>
            <w:tcW w:w="903" w:type="pct"/>
            <w:tcBorders>
              <w:top w:val="nil"/>
              <w:left w:val="nil"/>
              <w:bottom w:val="single" w:color="000000" w:sz="12" w:space="0"/>
              <w:right w:val="nil"/>
            </w:tcBorders>
            <w:shd w:val="clear" w:color="auto" w:fill="FFFFFF"/>
            <w:vAlign w:val="center"/>
          </w:tcPr>
          <w:p w14:paraId="43BE31F5">
            <w:pPr>
              <w:widowControl/>
              <w:jc w:val="center"/>
              <w:textAlignment w:val="center"/>
              <w:rPr>
                <w:color w:val="000000"/>
              </w:rPr>
            </w:pPr>
            <w:r>
              <w:rPr>
                <w:color w:val="000000"/>
                <w:kern w:val="0"/>
                <w:sz w:val="22"/>
                <w:szCs w:val="22"/>
              </w:rPr>
              <w:t>7.78</w:t>
            </w:r>
            <w:r>
              <w:rPr>
                <w:rFonts w:hint="eastAsia"/>
                <w:color w:val="000000"/>
                <w:kern w:val="0"/>
                <w:sz w:val="22"/>
                <w:szCs w:val="22"/>
              </w:rPr>
              <w:t>±0.11</w:t>
            </w:r>
            <w:r>
              <w:rPr>
                <w:rFonts w:hint="eastAsia"/>
                <w:color w:val="000000"/>
                <w:kern w:val="0"/>
                <w:sz w:val="22"/>
                <w:szCs w:val="22"/>
                <w:vertAlign w:val="superscript"/>
              </w:rPr>
              <w:t>a</w:t>
            </w:r>
          </w:p>
        </w:tc>
        <w:tc>
          <w:tcPr>
            <w:tcW w:w="903" w:type="pct"/>
            <w:tcBorders>
              <w:top w:val="nil"/>
              <w:left w:val="nil"/>
              <w:bottom w:val="single" w:color="000000" w:sz="12" w:space="0"/>
              <w:right w:val="nil"/>
            </w:tcBorders>
            <w:shd w:val="clear" w:color="auto" w:fill="FFFFFF"/>
            <w:vAlign w:val="center"/>
          </w:tcPr>
          <w:p w14:paraId="220B8ADF">
            <w:pPr>
              <w:widowControl/>
              <w:jc w:val="center"/>
              <w:textAlignment w:val="center"/>
              <w:rPr>
                <w:color w:val="000000"/>
              </w:rPr>
            </w:pPr>
            <w:r>
              <w:rPr>
                <w:color w:val="000000"/>
                <w:kern w:val="0"/>
                <w:sz w:val="22"/>
                <w:szCs w:val="22"/>
              </w:rPr>
              <w:t>7.98</w:t>
            </w:r>
            <w:r>
              <w:rPr>
                <w:rFonts w:hint="eastAsia"/>
                <w:color w:val="000000"/>
                <w:kern w:val="0"/>
                <w:sz w:val="22"/>
                <w:szCs w:val="22"/>
              </w:rPr>
              <w:t>±0.41</w:t>
            </w:r>
            <w:r>
              <w:rPr>
                <w:rFonts w:hint="eastAsia"/>
                <w:color w:val="000000"/>
                <w:kern w:val="0"/>
                <w:sz w:val="22"/>
                <w:szCs w:val="22"/>
                <w:vertAlign w:val="superscript"/>
              </w:rPr>
              <w:t>a</w:t>
            </w:r>
          </w:p>
        </w:tc>
      </w:tr>
    </w:tbl>
    <w:p w14:paraId="2DD92EDA">
      <w:pPr>
        <w:numPr>
          <w:ilvl w:val="255"/>
          <w:numId w:val="0"/>
        </w:numPr>
        <w:ind w:firstLine="486" w:firstLineChars="200"/>
        <w:jc w:val="left"/>
        <w:rPr>
          <w:rFonts w:ascii="宋体" w:hAnsi="宋体"/>
          <w:sz w:val="24"/>
        </w:rPr>
      </w:pPr>
      <w:r>
        <w:rPr>
          <w:rFonts w:hint="eastAsia" w:ascii="宋体" w:hAnsi="宋体"/>
          <w:sz w:val="24"/>
        </w:rPr>
        <w:t>注：abcd为显著性（p＜0.05）标记，不同字母代表有显著性差异。</w:t>
      </w:r>
    </w:p>
    <w:p w14:paraId="24A71E68">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表6可知，L代表五指毛桃露酒的明亮值，随着五指毛桃添加量的增加，五指毛桃露酒的L值呈负数增加，亮度呈增加的趋势，但随着浸泡时间以及烘烤温度的增加，五指毛桃露酒的亮度变化无明显规律，这说明五指毛桃养生露酒的明亮度与之添加量的关联性更密切，且呈现正相关趋势，添加量越大，酒色泽越深。</w:t>
      </w:r>
    </w:p>
    <w:p w14:paraId="7964D874">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a代表五指毛桃露酒的红绿值，正数表示偏红，负数表示偏绿。随着五指毛桃添加量及浸泡时间的增加，五指毛桃露酒的a值呈现增加后降低，并趋向于正值的趋势，表明五指毛桃养生露酒的色泽从一开始的绿色演变成红色的现象明显。然a值与五指毛桃养生露酒的烘烤温度无明显规律。</w:t>
      </w:r>
    </w:p>
    <w:p w14:paraId="3AC05FD8">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b代表五指毛桃露酒的黄蓝值，正数表示偏黄，负数表示偏蓝。随着五指毛桃添加量的增加，五指毛桃露酒的b值呈上升的趋势；随着浸泡时间的增加，b数值呈下降趋势，说明五指毛桃养生露酒的颜色随着添加量的增加而变黄，且不是随着添加时间越长，酒色酒越黄，需严格控制浸泡时间；同时，b值随着烘烤温度的增加呈现先降后增的趋势。</w:t>
      </w:r>
    </w:p>
    <w:p w14:paraId="7743D016">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综合ΔE来看，五指毛桃养生露酒的色泽与添加量和烘烤温度有较大的关系，随着添加量的增加，酒颜色更深；且酒的色泽随着烘烤温度的增加呈现先降低后增加的趋势。</w:t>
      </w:r>
    </w:p>
    <w:p w14:paraId="3E601416">
      <w:pPr>
        <w:pStyle w:val="4"/>
      </w:pPr>
      <w:r>
        <w:rPr>
          <w:rFonts w:hint="eastAsia"/>
        </w:rPr>
        <w:t>2.2.2 不同处理条件对五指毛桃露酒感官评分的影响</w:t>
      </w:r>
    </w:p>
    <w:p w14:paraId="52E21F80">
      <w:pPr>
        <w:rPr>
          <w:rFonts w:eastAsia="黑体"/>
          <w:b/>
          <w:sz w:val="28"/>
        </w:rPr>
      </w:pPr>
      <w:r>
        <w:rPr>
          <w:rFonts w:hint="eastAsia" w:eastAsia="黑体"/>
          <w:b/>
          <w:sz w:val="28"/>
        </w:rPr>
        <w:drawing>
          <wp:inline distT="0" distB="0" distL="0" distR="0">
            <wp:extent cx="5655945" cy="4504690"/>
            <wp:effectExtent l="0" t="0" r="1905" b="10160"/>
            <wp:docPr id="1035" name="图片 3" descr="布局1(1)"/>
            <wp:cNvGraphicFramePr/>
            <a:graphic xmlns:a="http://schemas.openxmlformats.org/drawingml/2006/main">
              <a:graphicData uri="http://schemas.openxmlformats.org/drawingml/2006/picture">
                <pic:pic xmlns:pic="http://schemas.openxmlformats.org/drawingml/2006/picture">
                  <pic:nvPicPr>
                    <pic:cNvPr id="1035" name="图片 3" descr="布局1(1)"/>
                    <pic:cNvPicPr/>
                  </pic:nvPicPr>
                  <pic:blipFill>
                    <a:blip r:embed="rId13" cstate="print"/>
                    <a:srcRect/>
                    <a:stretch>
                      <a:fillRect/>
                    </a:stretch>
                  </pic:blipFill>
                  <pic:spPr>
                    <a:xfrm>
                      <a:off x="0" y="0"/>
                      <a:ext cx="5655945" cy="4504690"/>
                    </a:xfrm>
                    <a:prstGeom prst="rect">
                      <a:avLst/>
                    </a:prstGeom>
                  </pic:spPr>
                </pic:pic>
              </a:graphicData>
            </a:graphic>
          </wp:inline>
        </w:drawing>
      </w:r>
    </w:p>
    <w:p w14:paraId="4A3708AA">
      <w:pPr>
        <w:jc w:val="center"/>
        <w:rPr>
          <w:szCs w:val="21"/>
        </w:rPr>
      </w:pPr>
      <w:r>
        <w:rPr>
          <w:rFonts w:hint="eastAsia"/>
          <w:sz w:val="24"/>
          <w:szCs w:val="21"/>
        </w:rPr>
        <w:t>图2-6 不同浸泡时间及添加量的五指毛桃养生露酒感官评分测定结果</w:t>
      </w:r>
    </w:p>
    <w:p w14:paraId="1071355A">
      <w:pPr>
        <w:ind w:firstLine="420"/>
        <w:jc w:val="center"/>
        <w:rPr>
          <w:sz w:val="24"/>
        </w:rPr>
      </w:pPr>
      <w:r>
        <w:rPr>
          <w:rFonts w:hint="eastAsia"/>
          <w:sz w:val="24"/>
        </w:rPr>
        <w:t>Fig 2-6. Sensory rating determination results of different processing conditions of Ficus hirta liquor</w:t>
      </w:r>
    </w:p>
    <w:p w14:paraId="31C8C490">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由图2-6可知，随着五指毛桃添加量的增加，五指毛桃露酒的感官评分呈上升的趋势；随着浸泡时间增加，五指毛桃露酒的感官评分总体呈先升后降趋势；但与烘烤温度无明显变化规律。当五指毛桃烘烤温添加量为12 g/100 mL时其感官评分最高，16 g/100mL次之。当浸泡时间为30 d时感官评分最高。</w:t>
      </w:r>
    </w:p>
    <w:p w14:paraId="3804FD06">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rPr>
        <w:t>总结：本试验通过调整五指毛桃的烘烤温度、添加量以及浸泡时间，研制出一款具有广西地域特色及潜在保健作用的五指毛桃养生露酒，并对其进行品质分析。结果表明，五指毛桃露酒的最佳制备工艺条件应为烘烤温度40℃、添加量16 g/100 mL、浸泡时间40 d，在此优化条件下，总黄酮的含量为2.83μg/mL、总多酚的含量为0.072 mg/mL。所得的五指毛桃露酒酒体清澈透亮，色泽金黄，药香与酒香香气浓郁协调，感官评分较高，DPPH、羟自由基和ABTS的清除率分别为90.66%、90.43%、85.75%，且在与VC溶液进行的对比当中，羟自由基的清除能力是明显高于VC的，DPPH与ABTS的清除能力没有VC高但也非常接近，有较好的体外抗氧化活性，其中总多酚和总黄酮的含量是五指毛桃露酒抗氧化能力强弱的一个重要指标，含量越高抗氧化能力就越强，酒的颜色也与黄酮含量有关，含量越高颜色越深。在此优化的条件下，可以得到五指毛桃露酒的最佳制备工艺，综合评价酒的品质也最佳，可为广西五指毛桃的产业应用及露酒开发提供科学依据。</w:t>
      </w:r>
    </w:p>
    <w:p w14:paraId="17B88124">
      <w:pPr>
        <w:numPr>
          <w:ilvl w:val="255"/>
          <w:numId w:val="0"/>
        </w:numPr>
        <w:spacing w:line="500" w:lineRule="exact"/>
        <w:ind w:left="488"/>
        <w:jc w:val="left"/>
        <w:rPr>
          <w:rFonts w:ascii="黑体" w:hAnsi="黑体" w:eastAsia="黑体"/>
          <w:color w:val="000000"/>
          <w:sz w:val="28"/>
          <w:szCs w:val="28"/>
        </w:rPr>
      </w:pPr>
      <w:r>
        <w:rPr>
          <w:rFonts w:hint="eastAsia" w:ascii="黑体" w:hAnsi="黑体" w:eastAsia="黑体"/>
          <w:color w:val="000000"/>
          <w:sz w:val="28"/>
          <w:szCs w:val="28"/>
          <w:lang w:eastAsia="zh-CN"/>
        </w:rPr>
        <w:t>（三）标志、包装、运输和储存</w:t>
      </w:r>
    </w:p>
    <w:p w14:paraId="7799C2D3">
      <w:pPr>
        <w:numPr>
          <w:ilvl w:val="255"/>
          <w:numId w:val="0"/>
        </w:numPr>
        <w:spacing w:line="500" w:lineRule="exact"/>
        <w:ind w:firstLine="606" w:firstLineChars="200"/>
        <w:jc w:val="left"/>
        <w:rPr>
          <w:rFonts w:ascii="仿宋_GB2312" w:hAnsi="宋体" w:eastAsia="仿宋_GB2312"/>
          <w:color w:val="000000"/>
          <w:sz w:val="30"/>
          <w:szCs w:val="30"/>
        </w:rPr>
      </w:pPr>
      <w:r>
        <w:rPr>
          <w:rFonts w:hint="eastAsia" w:ascii="仿宋_GB2312" w:hAnsi="宋体" w:eastAsia="仿宋_GB2312"/>
          <w:color w:val="000000"/>
          <w:sz w:val="30"/>
          <w:szCs w:val="30"/>
          <w:lang w:eastAsia="zh-CN"/>
        </w:rPr>
        <w:t>主要结合五指毛桃露酒的销售实际进行确定。</w:t>
      </w:r>
      <w:r>
        <w:rPr>
          <w:rFonts w:hint="eastAsia" w:ascii="仿宋_GB2312" w:hAnsi="宋体" w:eastAsia="仿宋_GB2312"/>
          <w:color w:val="000000"/>
          <w:sz w:val="30"/>
          <w:szCs w:val="30"/>
        </w:rPr>
        <w:t>技术经济分析表明，标准化生产可缩短加工周期，包装与储运规范（如运输温度20 ℃～25 ℃、阴凉贮存）可减少货损；同时，通过团体标准认证标签推广，产品溢价空间预计达10%～15%，结合成本节约与品质提升，整体利润增幅可达15%。此外，标准化生产将推动五指毛桃种植面积扩大20%，带动农户增收，助力广西特色露酒产业从粗放加工向品牌化、高附加值方向升级，预期三年内产业规模增长40%，成为区域性乡村振兴支柱产业。</w:t>
      </w:r>
    </w:p>
    <w:p w14:paraId="508F94B1">
      <w:pPr>
        <w:widowControl/>
        <w:spacing w:line="500" w:lineRule="exact"/>
        <w:jc w:val="left"/>
        <w:rPr>
          <w:rFonts w:ascii="宋体" w:hAnsi="宋体"/>
          <w:b/>
          <w:sz w:val="24"/>
        </w:rPr>
      </w:pPr>
      <w:r>
        <w:rPr>
          <w:rFonts w:hint="eastAsia" w:ascii="宋体" w:hAnsi="宋体"/>
          <w:b/>
          <w:sz w:val="30"/>
          <w:szCs w:val="30"/>
        </w:rPr>
        <w:t>六、</w:t>
      </w:r>
      <w:r>
        <w:rPr>
          <w:rFonts w:hint="eastAsia" w:eastAsia="黑体"/>
          <w:sz w:val="30"/>
          <w:szCs w:val="30"/>
        </w:rPr>
        <w:t>重大分歧意见的处理经过和依据</w:t>
      </w:r>
    </w:p>
    <w:p w14:paraId="30DD33C8">
      <w:pPr>
        <w:widowControl/>
        <w:spacing w:line="500" w:lineRule="exact"/>
        <w:ind w:firstLine="486"/>
        <w:jc w:val="left"/>
        <w:rPr>
          <w:rFonts w:ascii="宋体" w:hAnsi="宋体"/>
          <w:sz w:val="30"/>
          <w:szCs w:val="30"/>
        </w:rPr>
      </w:pPr>
      <w:r>
        <w:rPr>
          <w:rFonts w:hint="eastAsia" w:ascii="宋体" w:hAnsi="宋体"/>
          <w:sz w:val="30"/>
          <w:szCs w:val="30"/>
        </w:rPr>
        <w:t>无。</w:t>
      </w:r>
    </w:p>
    <w:p w14:paraId="1804BA7C">
      <w:pPr>
        <w:spacing w:line="500" w:lineRule="exact"/>
        <w:jc w:val="left"/>
        <w:rPr>
          <w:rFonts w:ascii="宋体" w:hAnsi="宋体"/>
          <w:b/>
          <w:sz w:val="30"/>
          <w:szCs w:val="30"/>
        </w:rPr>
      </w:pPr>
      <w:r>
        <w:rPr>
          <w:rFonts w:hint="eastAsia" w:ascii="宋体" w:hAnsi="宋体"/>
          <w:b/>
          <w:sz w:val="30"/>
          <w:szCs w:val="30"/>
        </w:rPr>
        <w:t>七、实施标准的措施</w:t>
      </w:r>
    </w:p>
    <w:p w14:paraId="1D67C3D1">
      <w:pPr>
        <w:spacing w:line="500" w:lineRule="exact"/>
        <w:ind w:firstLine="606" w:firstLineChars="200"/>
        <w:rPr>
          <w:rFonts w:ascii="仿宋_GB2312" w:hAnsi="宋体" w:eastAsia="仿宋_GB2312"/>
          <w:color w:val="000000"/>
          <w:sz w:val="30"/>
          <w:szCs w:val="30"/>
        </w:rPr>
      </w:pPr>
      <w:r>
        <w:rPr>
          <w:rFonts w:hint="eastAsia" w:ascii="仿宋_GB2312" w:hAnsi="宋体" w:eastAsia="仿宋_GB2312"/>
          <w:color w:val="000000"/>
          <w:sz w:val="30"/>
          <w:szCs w:val="30"/>
        </w:rPr>
        <w:t>《五指毛桃露酒生产技术规程》团体标准，旨在规范五指毛桃露酒产业发展，提升产品质量和市场竞争力，建议作为推荐性团体标准发布实施，由企业自愿采用，通过市场机制引导产业升级。</w:t>
      </w:r>
    </w:p>
    <w:p w14:paraId="361C20BD">
      <w:pPr>
        <w:spacing w:line="500" w:lineRule="exact"/>
        <w:ind w:firstLine="606" w:firstLineChars="200"/>
        <w:rPr>
          <w:rFonts w:ascii="仿宋_GB2312" w:hAnsi="宋体" w:eastAsia="仿宋_GB2312"/>
          <w:color w:val="000000"/>
          <w:sz w:val="30"/>
          <w:szCs w:val="30"/>
        </w:rPr>
      </w:pPr>
      <w:r>
        <w:rPr>
          <w:rFonts w:hint="eastAsia" w:ascii="仿宋_GB2312" w:hAnsi="宋体" w:eastAsia="仿宋_GB2312"/>
          <w:color w:val="000000"/>
          <w:sz w:val="30"/>
          <w:szCs w:val="30"/>
        </w:rPr>
        <w:t>《五指毛桃露酒生产技术规程》团体标准的实施将进一步规范广西五指毛桃露酒的生产、加工及质量控制技术要求，建议通过依托广西食品行业协会、中医药产业协会等平台，召开标准宣贯会、研讨会，邀请行业专家、生产企业、监管部门等参与，解读标准核心内容，积极宣传贯彻本标准。</w:t>
      </w:r>
    </w:p>
    <w:p w14:paraId="4B31730F">
      <w:pPr>
        <w:spacing w:line="500" w:lineRule="exact"/>
        <w:jc w:val="left"/>
        <w:outlineLvl w:val="0"/>
        <w:rPr>
          <w:rFonts w:ascii="宋体" w:hAnsi="宋体"/>
          <w:b/>
          <w:sz w:val="30"/>
          <w:szCs w:val="30"/>
        </w:rPr>
      </w:pPr>
      <w:r>
        <w:rPr>
          <w:rFonts w:hint="eastAsia" w:ascii="宋体" w:hAnsi="宋体"/>
          <w:b/>
          <w:sz w:val="30"/>
          <w:szCs w:val="30"/>
        </w:rPr>
        <w:t>八、</w:t>
      </w:r>
      <w:r>
        <w:rPr>
          <w:rFonts w:hint="eastAsia" w:eastAsia="黑体"/>
          <w:sz w:val="30"/>
          <w:szCs w:val="30"/>
        </w:rPr>
        <w:t>其他应当说明的事项</w:t>
      </w:r>
    </w:p>
    <w:p w14:paraId="4A81D4CE">
      <w:pPr>
        <w:spacing w:line="500" w:lineRule="exact"/>
        <w:ind w:firstLine="606" w:firstLineChars="200"/>
        <w:jc w:val="left"/>
        <w:outlineLvl w:val="0"/>
        <w:rPr>
          <w:rFonts w:ascii="宋体" w:hAnsi="宋体"/>
          <w:b/>
          <w:sz w:val="30"/>
          <w:szCs w:val="30"/>
        </w:rPr>
      </w:pPr>
      <w:r>
        <w:rPr>
          <w:rFonts w:hint="eastAsia" w:ascii="宋体" w:hAnsi="宋体"/>
          <w:b/>
          <w:sz w:val="30"/>
          <w:szCs w:val="30"/>
        </w:rPr>
        <w:t>无</w:t>
      </w:r>
    </w:p>
    <w:p w14:paraId="684FA1EF">
      <w:pPr>
        <w:autoSpaceDE w:val="0"/>
        <w:autoSpaceDN w:val="0"/>
        <w:adjustRightInd w:val="0"/>
        <w:spacing w:line="560" w:lineRule="exact"/>
        <w:rPr>
          <w:rFonts w:eastAsia="黑体"/>
          <w:sz w:val="32"/>
          <w:szCs w:val="32"/>
        </w:rPr>
      </w:pPr>
      <w:r>
        <w:rPr>
          <w:rFonts w:hint="eastAsia" w:eastAsia="黑体"/>
          <w:sz w:val="32"/>
          <w:szCs w:val="32"/>
        </w:rPr>
        <w:t>九、</w:t>
      </w:r>
      <w:r>
        <w:rPr>
          <w:rFonts w:eastAsia="黑体"/>
          <w:sz w:val="32"/>
          <w:szCs w:val="32"/>
        </w:rPr>
        <w:t>自我承诺</w:t>
      </w:r>
    </w:p>
    <w:p w14:paraId="614BB047">
      <w:pPr>
        <w:spacing w:line="500" w:lineRule="exact"/>
        <w:ind w:firstLine="606" w:firstLineChars="200"/>
        <w:jc w:val="left"/>
        <w:outlineLvl w:val="0"/>
        <w:rPr>
          <w:rFonts w:ascii="宋体" w:hAnsi="宋体"/>
          <w:b/>
          <w:sz w:val="30"/>
          <w:szCs w:val="30"/>
        </w:rPr>
      </w:pPr>
      <w:r>
        <w:rPr>
          <w:rFonts w:hint="eastAsia" w:eastAsia="仿宋_GB2312"/>
          <w:bCs/>
          <w:sz w:val="30"/>
          <w:szCs w:val="30"/>
        </w:rPr>
        <w:t>本标准内容与各项指标不低于国家强制性标准要求。</w:t>
      </w:r>
    </w:p>
    <w:p w14:paraId="1BDD4F75">
      <w:pPr>
        <w:spacing w:line="500" w:lineRule="exact"/>
        <w:jc w:val="left"/>
        <w:outlineLvl w:val="0"/>
        <w:rPr>
          <w:rFonts w:ascii="宋体" w:hAnsi="宋体"/>
          <w:b/>
          <w:sz w:val="24"/>
        </w:rPr>
      </w:pPr>
    </w:p>
    <w:p w14:paraId="169D6E90">
      <w:pPr>
        <w:spacing w:line="500" w:lineRule="exact"/>
        <w:jc w:val="left"/>
        <w:outlineLvl w:val="0"/>
        <w:rPr>
          <w:rFonts w:ascii="宋体" w:hAnsi="宋体"/>
          <w:b/>
          <w:sz w:val="24"/>
        </w:rPr>
      </w:pPr>
    </w:p>
    <w:p w14:paraId="4BC8E2BA">
      <w:pPr>
        <w:spacing w:line="500" w:lineRule="exact"/>
        <w:jc w:val="left"/>
        <w:outlineLvl w:val="0"/>
        <w:rPr>
          <w:rFonts w:ascii="宋体" w:hAnsi="宋体"/>
          <w:b/>
          <w:sz w:val="24"/>
        </w:rPr>
      </w:pPr>
    </w:p>
    <w:p w14:paraId="547520FB">
      <w:pPr>
        <w:spacing w:line="560" w:lineRule="exact"/>
        <w:ind w:right="644"/>
        <w:jc w:val="right"/>
        <w:rPr>
          <w:rFonts w:eastAsia="仿宋_GB2312"/>
          <w:sz w:val="32"/>
          <w:szCs w:val="32"/>
        </w:rPr>
      </w:pPr>
      <w:r>
        <w:rPr>
          <w:rFonts w:eastAsia="仿宋_GB2312"/>
          <w:sz w:val="32"/>
          <w:szCs w:val="32"/>
        </w:rPr>
        <w:t>团体标准《</w:t>
      </w:r>
      <w:r>
        <w:rPr>
          <w:rFonts w:hint="eastAsia" w:eastAsia="仿宋_GB2312"/>
          <w:sz w:val="32"/>
          <w:szCs w:val="32"/>
        </w:rPr>
        <w:t>五指毛桃露酒生产技术规程</w:t>
      </w:r>
      <w:r>
        <w:rPr>
          <w:rFonts w:eastAsia="仿宋_GB2312"/>
          <w:sz w:val="32"/>
          <w:szCs w:val="32"/>
        </w:rPr>
        <w:t>》</w:t>
      </w:r>
    </w:p>
    <w:p w14:paraId="30D4DB66">
      <w:pPr>
        <w:spacing w:line="560" w:lineRule="exact"/>
        <w:ind w:right="1127"/>
        <w:jc w:val="center"/>
        <w:rPr>
          <w:rFonts w:eastAsia="仿宋_GB2312"/>
          <w:sz w:val="32"/>
          <w:szCs w:val="32"/>
        </w:rPr>
      </w:pPr>
      <w:r>
        <w:rPr>
          <w:rFonts w:hint="eastAsia" w:eastAsia="仿宋_GB2312"/>
          <w:sz w:val="32"/>
          <w:szCs w:val="32"/>
        </w:rPr>
        <w:t xml:space="preserve">                          </w:t>
      </w:r>
      <w:r>
        <w:rPr>
          <w:rFonts w:eastAsia="仿宋_GB2312"/>
          <w:sz w:val="32"/>
          <w:szCs w:val="32"/>
        </w:rPr>
        <w:t>标准编制组</w:t>
      </w:r>
    </w:p>
    <w:p w14:paraId="606FA1A3">
      <w:pPr>
        <w:spacing w:line="500" w:lineRule="exact"/>
        <w:ind w:right="644"/>
        <w:jc w:val="center"/>
        <w:outlineLvl w:val="0"/>
        <w:rPr>
          <w:rFonts w:ascii="宋体" w:hAnsi="宋体"/>
          <w:b/>
          <w:sz w:val="24"/>
        </w:rPr>
      </w:pPr>
      <w:r>
        <w:rPr>
          <w:rFonts w:hint="eastAsia" w:eastAsia="仿宋_GB2312"/>
          <w:sz w:val="32"/>
          <w:szCs w:val="32"/>
        </w:rPr>
        <w:t xml:space="preserve">                       </w:t>
      </w:r>
      <w:r>
        <w:rPr>
          <w:rFonts w:eastAsia="仿宋_GB2312"/>
          <w:sz w:val="32"/>
          <w:szCs w:val="32"/>
        </w:rPr>
        <w:t>202</w:t>
      </w:r>
      <w:r>
        <w:rPr>
          <w:rFonts w:hint="eastAsia" w:eastAsia="仿宋_GB2312"/>
          <w:sz w:val="32"/>
          <w:szCs w:val="32"/>
        </w:rPr>
        <w:t>6</w:t>
      </w:r>
      <w:r>
        <w:rPr>
          <w:rFonts w:eastAsia="仿宋_GB2312"/>
          <w:sz w:val="32"/>
          <w:szCs w:val="32"/>
        </w:rPr>
        <w:t>年</w:t>
      </w:r>
      <w:r>
        <w:rPr>
          <w:rFonts w:hint="eastAsia" w:eastAsia="仿宋_GB2312"/>
          <w:sz w:val="32"/>
          <w:szCs w:val="32"/>
        </w:rPr>
        <w:t>7</w:t>
      </w:r>
      <w:r>
        <w:rPr>
          <w:rFonts w:eastAsia="仿宋_GB2312"/>
          <w:sz w:val="32"/>
          <w:szCs w:val="32"/>
        </w:rPr>
        <w:t>月</w:t>
      </w:r>
      <w:r>
        <w:rPr>
          <w:rFonts w:hint="eastAsia" w:eastAsia="仿宋_GB2312"/>
          <w:sz w:val="32"/>
          <w:szCs w:val="32"/>
        </w:rPr>
        <w:t>2</w:t>
      </w:r>
      <w:r>
        <w:rPr>
          <w:rFonts w:eastAsia="仿宋_GB2312"/>
          <w:sz w:val="32"/>
          <w:szCs w:val="32"/>
        </w:rPr>
        <w:t>日</w:t>
      </w:r>
    </w:p>
    <w:p w14:paraId="4FF21C1C">
      <w:pPr>
        <w:pStyle w:val="6"/>
        <w:adjustRightInd w:val="0"/>
        <w:snapToGrid w:val="0"/>
        <w:spacing w:before="0" w:beforeAutospacing="0" w:after="0" w:afterAutospacing="0" w:line="500" w:lineRule="exact"/>
        <w:rPr>
          <w:rFonts w:ascii="仿宋_GB2312" w:eastAsia="仿宋_GB2312" w:cs="Times New Roman"/>
          <w:color w:val="000000"/>
          <w:kern w:val="2"/>
          <w:szCs w:val="30"/>
        </w:rPr>
      </w:pPr>
    </w:p>
    <w:sectPr>
      <w:headerReference r:id="rId3" w:type="default"/>
      <w:footerReference r:id="rId4" w:type="default"/>
      <w:footerReference r:id="rId5" w:type="even"/>
      <w:pgSz w:w="11906" w:h="16838"/>
      <w:pgMar w:top="1440" w:right="1797" w:bottom="1440" w:left="1797" w:header="851" w:footer="992" w:gutter="0"/>
      <w:cols w:space="720" w:num="1"/>
      <w:docGrid w:type="linesAndChars" w:linePitch="319"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C4F64">
    <w:pPr>
      <w:pStyle w:val="9"/>
      <w:framePr w:wrap="around" w:vAnchor="text" w:hAnchor="margin" w:xAlign="center" w:y="1"/>
      <w:rPr>
        <w:rStyle w:val="16"/>
      </w:rPr>
    </w:pPr>
    <w:r>
      <w:fldChar w:fldCharType="begin"/>
    </w:r>
    <w:r>
      <w:rPr>
        <w:rStyle w:val="16"/>
      </w:rPr>
      <w:instrText xml:space="preserve">PAGE  </w:instrText>
    </w:r>
    <w:r>
      <w:fldChar w:fldCharType="separate"/>
    </w:r>
    <w:r>
      <w:rPr>
        <w:rStyle w:val="16"/>
      </w:rPr>
      <w:t>13</w:t>
    </w:r>
    <w:r>
      <w:fldChar w:fldCharType="end"/>
    </w:r>
  </w:p>
  <w:p w14:paraId="2824FDA0">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89EDB">
    <w:pPr>
      <w:pStyle w:val="9"/>
      <w:framePr w:wrap="around" w:vAnchor="text" w:hAnchor="margin" w:xAlign="center" w:y="1"/>
      <w:rPr>
        <w:rStyle w:val="16"/>
      </w:rPr>
    </w:pPr>
    <w:r>
      <w:fldChar w:fldCharType="begin"/>
    </w:r>
    <w:r>
      <w:rPr>
        <w:rStyle w:val="16"/>
      </w:rPr>
      <w:instrText xml:space="preserve">PAGE  </w:instrText>
    </w:r>
    <w:r>
      <w:fldChar w:fldCharType="separate"/>
    </w:r>
    <w:r>
      <w:rPr>
        <w:rStyle w:val="16"/>
      </w:rPr>
      <w:t>5</w:t>
    </w:r>
    <w:r>
      <w:fldChar w:fldCharType="end"/>
    </w:r>
  </w:p>
  <w:p w14:paraId="30453A4B">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CEA96">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4B1A8B"/>
    <w:multiLevelType w:val="singleLevel"/>
    <w:tmpl w:val="4D4B1A8B"/>
    <w:lvl w:ilvl="0" w:tentative="0">
      <w:start w:val="2"/>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7"/>
      <w:suff w:val="nothing"/>
      <w:lvlText w:val="%1%2　"/>
      <w:lvlJc w:val="left"/>
      <w:pPr>
        <w:ind w:left="0" w:firstLine="0"/>
      </w:pPr>
      <w:rPr>
        <w:rFonts w:hint="eastAsia" w:ascii="黑体" w:eastAsia="黑体"/>
        <w:b w:val="0"/>
        <w:i w:val="0"/>
        <w:sz w:val="21"/>
      </w:rPr>
    </w:lvl>
    <w:lvl w:ilvl="2" w:tentative="0">
      <w:start w:val="1"/>
      <w:numFmt w:val="decimal"/>
      <w:pStyle w:val="2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lkMjY1YmZlNzhmODUyNTlhNWZmNmY1ZWViNjM2ZGMifQ=="/>
  </w:docVars>
  <w:rsids>
    <w:rsidRoot w:val="00C10030"/>
    <w:rsid w:val="00000F4E"/>
    <w:rsid w:val="0000580E"/>
    <w:rsid w:val="00024AF5"/>
    <w:rsid w:val="0005512C"/>
    <w:rsid w:val="00055149"/>
    <w:rsid w:val="0007041B"/>
    <w:rsid w:val="0007577E"/>
    <w:rsid w:val="00091B6B"/>
    <w:rsid w:val="00095AF9"/>
    <w:rsid w:val="000B5D3D"/>
    <w:rsid w:val="000D6413"/>
    <w:rsid w:val="000F7D78"/>
    <w:rsid w:val="00107366"/>
    <w:rsid w:val="0015600E"/>
    <w:rsid w:val="00163DE6"/>
    <w:rsid w:val="001740E7"/>
    <w:rsid w:val="00193D6C"/>
    <w:rsid w:val="001A1E67"/>
    <w:rsid w:val="002010D6"/>
    <w:rsid w:val="002112D6"/>
    <w:rsid w:val="00215607"/>
    <w:rsid w:val="00231901"/>
    <w:rsid w:val="002531C5"/>
    <w:rsid w:val="002A78E8"/>
    <w:rsid w:val="00311A3B"/>
    <w:rsid w:val="0033046F"/>
    <w:rsid w:val="00343776"/>
    <w:rsid w:val="00350588"/>
    <w:rsid w:val="00356D1A"/>
    <w:rsid w:val="003B6EDB"/>
    <w:rsid w:val="003C69C5"/>
    <w:rsid w:val="00402427"/>
    <w:rsid w:val="00416FEF"/>
    <w:rsid w:val="00421BAA"/>
    <w:rsid w:val="004512CC"/>
    <w:rsid w:val="004927DD"/>
    <w:rsid w:val="004A10B7"/>
    <w:rsid w:val="004E374B"/>
    <w:rsid w:val="004E4AF2"/>
    <w:rsid w:val="00507781"/>
    <w:rsid w:val="00554400"/>
    <w:rsid w:val="00556002"/>
    <w:rsid w:val="00557BA9"/>
    <w:rsid w:val="00592DAD"/>
    <w:rsid w:val="00593CC1"/>
    <w:rsid w:val="005A6169"/>
    <w:rsid w:val="005B52FB"/>
    <w:rsid w:val="005C2B88"/>
    <w:rsid w:val="005C312F"/>
    <w:rsid w:val="006149D6"/>
    <w:rsid w:val="00646888"/>
    <w:rsid w:val="00661729"/>
    <w:rsid w:val="00673E96"/>
    <w:rsid w:val="006A46E4"/>
    <w:rsid w:val="006A5C84"/>
    <w:rsid w:val="006B3149"/>
    <w:rsid w:val="006B5A46"/>
    <w:rsid w:val="006E2396"/>
    <w:rsid w:val="00707E71"/>
    <w:rsid w:val="0073568B"/>
    <w:rsid w:val="007611A0"/>
    <w:rsid w:val="00762319"/>
    <w:rsid w:val="007D5819"/>
    <w:rsid w:val="007E7C6E"/>
    <w:rsid w:val="007E7F33"/>
    <w:rsid w:val="007F0DEF"/>
    <w:rsid w:val="007F29DE"/>
    <w:rsid w:val="00817D5D"/>
    <w:rsid w:val="0088004C"/>
    <w:rsid w:val="00881FE5"/>
    <w:rsid w:val="00882C74"/>
    <w:rsid w:val="00895A30"/>
    <w:rsid w:val="008B5985"/>
    <w:rsid w:val="008C1059"/>
    <w:rsid w:val="008C26B7"/>
    <w:rsid w:val="008C66E9"/>
    <w:rsid w:val="008C6867"/>
    <w:rsid w:val="008D3B67"/>
    <w:rsid w:val="008E0FBD"/>
    <w:rsid w:val="008F046E"/>
    <w:rsid w:val="00901E3F"/>
    <w:rsid w:val="00911135"/>
    <w:rsid w:val="00957E87"/>
    <w:rsid w:val="00984A9D"/>
    <w:rsid w:val="00997A3C"/>
    <w:rsid w:val="009A3029"/>
    <w:rsid w:val="009D67C8"/>
    <w:rsid w:val="009E7B39"/>
    <w:rsid w:val="009E7CBB"/>
    <w:rsid w:val="00A02ABA"/>
    <w:rsid w:val="00A16855"/>
    <w:rsid w:val="00A23B35"/>
    <w:rsid w:val="00A372F4"/>
    <w:rsid w:val="00A42092"/>
    <w:rsid w:val="00A43141"/>
    <w:rsid w:val="00A445D2"/>
    <w:rsid w:val="00A50663"/>
    <w:rsid w:val="00A63F76"/>
    <w:rsid w:val="00A81E71"/>
    <w:rsid w:val="00AA0F2D"/>
    <w:rsid w:val="00AA4EAC"/>
    <w:rsid w:val="00AC7BDA"/>
    <w:rsid w:val="00AD59AD"/>
    <w:rsid w:val="00AD7EB5"/>
    <w:rsid w:val="00AE0129"/>
    <w:rsid w:val="00AE7324"/>
    <w:rsid w:val="00AF3DD1"/>
    <w:rsid w:val="00B04BF5"/>
    <w:rsid w:val="00B06F31"/>
    <w:rsid w:val="00B162DA"/>
    <w:rsid w:val="00B16D77"/>
    <w:rsid w:val="00B658FD"/>
    <w:rsid w:val="00B65C5C"/>
    <w:rsid w:val="00B96262"/>
    <w:rsid w:val="00BA3BA1"/>
    <w:rsid w:val="00BB22EB"/>
    <w:rsid w:val="00BB2DBD"/>
    <w:rsid w:val="00BC6A05"/>
    <w:rsid w:val="00BF684E"/>
    <w:rsid w:val="00BF6930"/>
    <w:rsid w:val="00C10030"/>
    <w:rsid w:val="00C2359B"/>
    <w:rsid w:val="00C23845"/>
    <w:rsid w:val="00C245AE"/>
    <w:rsid w:val="00C514B9"/>
    <w:rsid w:val="00C95158"/>
    <w:rsid w:val="00C95D41"/>
    <w:rsid w:val="00CA4AD6"/>
    <w:rsid w:val="00CB005A"/>
    <w:rsid w:val="00CC29EA"/>
    <w:rsid w:val="00CD0669"/>
    <w:rsid w:val="00CF1F28"/>
    <w:rsid w:val="00D0550D"/>
    <w:rsid w:val="00D1444B"/>
    <w:rsid w:val="00D1529F"/>
    <w:rsid w:val="00D37B8C"/>
    <w:rsid w:val="00DF7064"/>
    <w:rsid w:val="00E60A3C"/>
    <w:rsid w:val="00E60B7B"/>
    <w:rsid w:val="00E93B51"/>
    <w:rsid w:val="00EA45A3"/>
    <w:rsid w:val="00EB0AD0"/>
    <w:rsid w:val="00ED135B"/>
    <w:rsid w:val="00EF4A28"/>
    <w:rsid w:val="00F24E20"/>
    <w:rsid w:val="00F2753D"/>
    <w:rsid w:val="00F40E53"/>
    <w:rsid w:val="00F41603"/>
    <w:rsid w:val="00F473B6"/>
    <w:rsid w:val="00F54DA4"/>
    <w:rsid w:val="00F65B05"/>
    <w:rsid w:val="00F70FAA"/>
    <w:rsid w:val="00F73AEA"/>
    <w:rsid w:val="00F77735"/>
    <w:rsid w:val="00F862DC"/>
    <w:rsid w:val="00F90697"/>
    <w:rsid w:val="00FB24C9"/>
    <w:rsid w:val="01905B72"/>
    <w:rsid w:val="01D31F50"/>
    <w:rsid w:val="03814D54"/>
    <w:rsid w:val="08421389"/>
    <w:rsid w:val="08AF6C12"/>
    <w:rsid w:val="08D774A5"/>
    <w:rsid w:val="0A120243"/>
    <w:rsid w:val="0A4755F7"/>
    <w:rsid w:val="0B022DD2"/>
    <w:rsid w:val="0CDE6ACB"/>
    <w:rsid w:val="0D1E6705"/>
    <w:rsid w:val="0DCA5124"/>
    <w:rsid w:val="0F6B4D1D"/>
    <w:rsid w:val="11A46535"/>
    <w:rsid w:val="16781ABE"/>
    <w:rsid w:val="17E55221"/>
    <w:rsid w:val="180912F7"/>
    <w:rsid w:val="19880911"/>
    <w:rsid w:val="19D305D1"/>
    <w:rsid w:val="1A2C51C9"/>
    <w:rsid w:val="1D593A41"/>
    <w:rsid w:val="200A7EAB"/>
    <w:rsid w:val="217C0935"/>
    <w:rsid w:val="22FF35CB"/>
    <w:rsid w:val="29AE3CBE"/>
    <w:rsid w:val="2D1046A7"/>
    <w:rsid w:val="31ED08E1"/>
    <w:rsid w:val="322B465C"/>
    <w:rsid w:val="332D2039"/>
    <w:rsid w:val="34715B02"/>
    <w:rsid w:val="35DE1B03"/>
    <w:rsid w:val="3C305F1C"/>
    <w:rsid w:val="3D961BE6"/>
    <w:rsid w:val="3DF01457"/>
    <w:rsid w:val="3F22593C"/>
    <w:rsid w:val="409F6CBA"/>
    <w:rsid w:val="40C85EE9"/>
    <w:rsid w:val="42AB09A8"/>
    <w:rsid w:val="45A8633B"/>
    <w:rsid w:val="4A4B10E6"/>
    <w:rsid w:val="4ABA6703"/>
    <w:rsid w:val="4CE27936"/>
    <w:rsid w:val="4D1A101D"/>
    <w:rsid w:val="4D386C05"/>
    <w:rsid w:val="4DB96F81"/>
    <w:rsid w:val="51BC37FC"/>
    <w:rsid w:val="52062F88"/>
    <w:rsid w:val="55111D1D"/>
    <w:rsid w:val="579C533A"/>
    <w:rsid w:val="5A6A7B45"/>
    <w:rsid w:val="61C22CB9"/>
    <w:rsid w:val="645A141D"/>
    <w:rsid w:val="65313E9D"/>
    <w:rsid w:val="69BA362C"/>
    <w:rsid w:val="6B497849"/>
    <w:rsid w:val="6B4B28AA"/>
    <w:rsid w:val="6C2E06D1"/>
    <w:rsid w:val="6D3C0775"/>
    <w:rsid w:val="6F793EF2"/>
    <w:rsid w:val="71C94234"/>
    <w:rsid w:val="71DD33A7"/>
    <w:rsid w:val="733046A8"/>
    <w:rsid w:val="73CE59E8"/>
    <w:rsid w:val="7880089C"/>
    <w:rsid w:val="79FD0799"/>
    <w:rsid w:val="79FD587A"/>
    <w:rsid w:val="7C430A6B"/>
    <w:rsid w:val="7E4A2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line="360" w:lineRule="auto"/>
      <w:jc w:val="left"/>
      <w:outlineLvl w:val="1"/>
    </w:pPr>
    <w:rPr>
      <w:rFonts w:eastAsia="黑体"/>
      <w:sz w:val="30"/>
    </w:rPr>
  </w:style>
  <w:style w:type="paragraph" w:styleId="4">
    <w:name w:val="heading 3"/>
    <w:basedOn w:val="1"/>
    <w:next w:val="1"/>
    <w:qFormat/>
    <w:uiPriority w:val="0"/>
    <w:pPr>
      <w:keepNext/>
      <w:keepLines/>
      <w:spacing w:line="360" w:lineRule="auto"/>
      <w:jc w:val="left"/>
      <w:outlineLvl w:val="2"/>
    </w:pPr>
    <w:rPr>
      <w:rFonts w:eastAsia="黑体"/>
      <w:sz w:val="28"/>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3"/>
    <w:qFormat/>
    <w:uiPriority w:val="0"/>
    <w:pPr>
      <w:jc w:val="left"/>
    </w:pPr>
  </w:style>
  <w:style w:type="paragraph" w:styleId="6">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7">
    <w:name w:val="Date"/>
    <w:basedOn w:val="1"/>
    <w:next w:val="1"/>
    <w:link w:val="25"/>
    <w:qFormat/>
    <w:uiPriority w:val="0"/>
    <w:pPr>
      <w:ind w:left="100" w:leftChars="2500"/>
    </w:pPr>
  </w:style>
  <w:style w:type="paragraph" w:styleId="8">
    <w:name w:val="Balloon Text"/>
    <w:basedOn w:val="1"/>
    <w:link w:val="22"/>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annotation subject"/>
    <w:basedOn w:val="5"/>
    <w:next w:val="5"/>
    <w:link w:val="24"/>
    <w:qFormat/>
    <w:uiPriority w:val="0"/>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0"/>
  </w:style>
  <w:style w:type="character" w:styleId="17">
    <w:name w:val="Emphasis"/>
    <w:basedOn w:val="14"/>
    <w:qFormat/>
    <w:uiPriority w:val="0"/>
    <w:rPr>
      <w:i/>
    </w:rPr>
  </w:style>
  <w:style w:type="character" w:styleId="18">
    <w:name w:val="annotation reference"/>
    <w:basedOn w:val="14"/>
    <w:qFormat/>
    <w:uiPriority w:val="0"/>
    <w:rPr>
      <w:sz w:val="21"/>
      <w:szCs w:val="21"/>
    </w:rPr>
  </w:style>
  <w:style w:type="paragraph" w:customStyle="1" w:styleId="1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2">
    <w:name w:val="批注框文本 Char"/>
    <w:basedOn w:val="14"/>
    <w:link w:val="8"/>
    <w:qFormat/>
    <w:uiPriority w:val="0"/>
    <w:rPr>
      <w:rFonts w:ascii="Times New Roman" w:hAnsi="Times New Roman"/>
      <w:kern w:val="2"/>
      <w:sz w:val="18"/>
      <w:szCs w:val="18"/>
    </w:rPr>
  </w:style>
  <w:style w:type="character" w:customStyle="1" w:styleId="23">
    <w:name w:val="批注文字 Char"/>
    <w:basedOn w:val="14"/>
    <w:link w:val="5"/>
    <w:qFormat/>
    <w:uiPriority w:val="0"/>
    <w:rPr>
      <w:rFonts w:ascii="Times New Roman" w:hAnsi="Times New Roman"/>
      <w:kern w:val="2"/>
      <w:sz w:val="21"/>
      <w:szCs w:val="24"/>
    </w:rPr>
  </w:style>
  <w:style w:type="character" w:customStyle="1" w:styleId="24">
    <w:name w:val="批注主题 Char"/>
    <w:basedOn w:val="23"/>
    <w:link w:val="11"/>
    <w:qFormat/>
    <w:uiPriority w:val="0"/>
    <w:rPr>
      <w:rFonts w:ascii="Times New Roman" w:hAnsi="Times New Roman"/>
      <w:b/>
      <w:bCs/>
      <w:kern w:val="2"/>
      <w:sz w:val="21"/>
      <w:szCs w:val="24"/>
    </w:rPr>
  </w:style>
  <w:style w:type="character" w:customStyle="1" w:styleId="25">
    <w:name w:val="日期 Char"/>
    <w:basedOn w:val="14"/>
    <w:link w:val="7"/>
    <w:qFormat/>
    <w:uiPriority w:val="0"/>
    <w:rPr>
      <w:kern w:val="2"/>
      <w:sz w:val="21"/>
      <w:szCs w:val="24"/>
    </w:rPr>
  </w:style>
  <w:style w:type="paragraph" w:customStyle="1" w:styleId="26">
    <w:name w:val="标准文件_一级条标题"/>
    <w:basedOn w:val="27"/>
    <w:next w:val="28"/>
    <w:qFormat/>
    <w:uiPriority w:val="0"/>
    <w:pPr>
      <w:numPr>
        <w:ilvl w:val="2"/>
      </w:numPr>
      <w:spacing w:beforeLines="50" w:afterLines="50"/>
      <w:outlineLvl w:val="1"/>
    </w:pPr>
  </w:style>
  <w:style w:type="paragraph" w:customStyle="1" w:styleId="27">
    <w:name w:val="标准文件_章标题"/>
    <w:next w:val="28"/>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题 1 Char"/>
    <w:basedOn w:val="14"/>
    <w:link w:val="2"/>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F360BE8B-6686-4F3D-AEAF-501FE73E4058-1">
      <extobjdata type="F360BE8B-6686-4F3D-AEAF-501FE73E4058" data="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"/>
    </extobj>
  </extobjs>
</s:customData>
</file>

<file path=customXml/item2.xml><?xml version="1.0" encoding="utf-8"?>
<contractReview xmlns="http://schemas.wps.cn/vas-ai-hub/contract-review">
  <reviewItems>
    <reviewItem>
      <errorID>f867a375-1130-47db-adce-ee10e4721f9c</errorID>
      <errorWord>团体标准</errorWord>
      <group>L1_AI</group>
      <groupName>深度校对</groupName>
      <ability>L2_AI_Grammar</ability>
      <abilityName>语法纠错</abilityName>
      <candidateList>
        <item>团体</item>
      </candidateList>
      <explain/>
      <paraID>2F205CB1</paraID>
      <start>0</start>
      <end>2</end>
      <status>modified</status>
      <modifiedWord>团体</modifiedWord>
      <trackRevisions>false</trackRevisions>
    </reviewItem>
    <reviewItem>
      <errorID>f6cfb5b0-8e6a-4018-a7b3-e55cf9d51ac4</errorID>
      <errorWord>-</errorWord>
      <group>L1_Format</group>
      <groupName>格式问题</groupName>
      <ability>L2_HalfPunc</ability>
      <abilityName>全半角检查</abilityName>
      <candidateList>
        <item>－</item>
      </candidateList>
      <explain>文本全半角错误。</explain>
      <paraID>14A7C8C1</paraID>
      <start>117</start>
      <end>118</end>
      <status>modified</status>
      <modifiedWord>－</modifiedWord>
      <trackRevisions>false</trackRevisions>
    </reviewItem>
    <reviewItem>
      <errorID>82106ce6-ad2c-400e-9f95-a34e1aeed447</errorID>
      <errorWord>(</errorWord>
      <group>L1_Format</group>
      <groupName>格式问题</groupName>
      <ability>L2_HalfPunc</ability>
      <abilityName>全半角检查</abilityName>
      <candidateList>
        <item>（</item>
      </candidateList>
      <explain>文本全半角错误。</explain>
      <paraID>14A7C8C1</paraID>
      <start>145</start>
      <end>146</end>
      <status>modified</status>
      <modifiedWord>（</modifiedWord>
      <trackRevisions>false</trackRevisions>
    </reviewItem>
    <reviewItem>
      <errorID>ce61e4a8-74d9-4b38-87a6-a8979f81aa64</errorID>
      <errorWord>)</errorWord>
      <group>L1_Format</group>
      <groupName>格式问题</groupName>
      <ability>L2_HalfPunc</ability>
      <abilityName>全半角检查</abilityName>
      <candidateList>
        <item>）</item>
      </candidateList>
      <explain>文本全半角错误。</explain>
      <paraID>14A7C8C1</paraID>
      <start>152</start>
      <end>153</end>
      <status>modified</status>
      <modifiedWord>）</modifiedWord>
      <trackRevisions>false</trackRevisions>
    </reviewItem>
    <reviewItem>
      <errorID>3e8aa366-9ff8-4786-8fc0-ec5a6695346b</errorID>
      <errorWord>(</errorWord>
      <group>L1_Format</group>
      <groupName>格式问题</groupName>
      <ability>L2_HalfPunc</ability>
      <abilityName>全半角检查</abilityName>
      <candidateList>
        <item>（</item>
      </candidateList>
      <explain>文本全半角错误。</explain>
      <paraID>14A7C8C1</paraID>
      <start>166</start>
      <end>167</end>
      <status>modified</status>
      <modifiedWord>（</modifiedWord>
      <trackRevisions>false</trackRevisions>
    </reviewItem>
    <reviewItem>
      <errorID>62f5a9ea-23f7-4029-ab15-17928f420cb0</errorID>
      <errorWord>)</errorWord>
      <group>L1_Format</group>
      <groupName>格式问题</groupName>
      <ability>L2_HalfPunc</ability>
      <abilityName>全半角检查</abilityName>
      <candidateList>
        <item>）</item>
      </candidateList>
      <explain>文本全半角错误。</explain>
      <paraID>14A7C8C1</paraID>
      <start>169</start>
      <end>170</end>
      <status>modified</status>
      <modifiedWord>）</modifiedWord>
      <trackRevisions>false</trackRevisions>
    </reviewItem>
    <reviewItem>
      <errorID>3ba031cf-e415-4350-8263-ddd11fcda430</errorID>
      <errorWord>亟需</errorWord>
      <group>L1_Word</group>
      <groupName>字词问题</groupName>
      <ability>L2_Typo</ability>
      <abilityName>字词错误</abilityName>
      <candidateList>
        <item>亟须</item>
      </candidateList>
      <explain/>
      <paraID>5BD185DD</paraID>
      <start>235</start>
      <end>237</end>
      <status>modified</status>
      <modifiedWord>亟须</modifiedWord>
      <trackRevisions>false</trackRevisions>
    </reviewItem>
    <reviewItem>
      <errorID>d534c53e-7023-4028-9640-ee3b9bc13590</errorID>
      <errorWord>[2025]1号</errorWord>
      <group>L1_Knowledge</group>
      <groupName>知识性问题</groupName>
      <ability>L2_Knowledge</ability>
      <abilityName>其他知识</abilityName>
      <candidateList>
        <item>〔2025〕1号</item>
      </candidateList>
      <explain>发文字号格式错误。</explain>
      <paraID>32F8BF0E</paraID>
      <start>44</start>
      <end>52</end>
      <status>ignored</status>
      <modifiedWord/>
      <trackRevisions>false</trackRevisions>
    </reviewItem>
    <reviewItem>
      <errorID>24548ba7-b21b-4c34-83ae-b233b5551282</errorID>
      <errorWord>作出</errorWord>
      <group>L1_Word</group>
      <groupName>字词问题</groupName>
      <ability>L2_Typo</ability>
      <abilityName>字词错误</abilityName>
      <candidateList>
        <item>做出</item>
      </candidateList>
      <explain/>
      <paraID>32F8BF0E</paraID>
      <start>178</start>
      <end>180</end>
      <status>modified</status>
      <modifiedWord>做出</modifiedWord>
      <trackRevisions>false</trackRevisions>
    </reviewItem>
    <reviewItem>
      <errorID>aa9c7b06-9e47-442a-b3c6-3e5980a558a5</errorID>
      <errorWord>维护消费者的合法权益</errorWord>
      <group>L1_Political</group>
      <groupName>政治性问题</groupName>
      <ability>L2_Keyword</ability>
      <abilityName>固定表述</abilityName>
      <candidateList>
        <item>维护消费者合法权益</item>
      </candidateList>
      <explain>词汇“维护消费者合法权益”在特定场景下为固定表述形式，请确认此处的“维护消费者的合法权益”是否存在不当。</explain>
      <paraID>32F8BF0E</paraID>
      <start>252</start>
      <end>261</end>
      <status>modified</status>
      <modifiedWord>维护消费者合法权益</modifiedWord>
      <trackRevisions>false</trackRevisions>
    </reviewItem>
    <reviewItem>
      <errorID>c3852f57-4374-466d-b7f4-2516f0bde7b9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52489D5D</paraID>
      <start>0</start>
      <end>2</end>
      <status>modified</status>
      <modifiedWord>1.</modifiedWord>
      <trackRevisions>false</trackRevisions>
    </reviewItem>
    <reviewItem>
      <errorID>19e036e6-92d2-4bff-9958-bdea05835ade</errorID>
      <errorWord>（</errorWord>
      <group>L1_AI</group>
      <groupName>深度校对</groupName>
      <ability>L2_AI_Punc</ability>
      <abilityName>标点纠错</abilityName>
      <candidateList>
        <item/>
      </candidateList>
      <explain/>
      <paraID>52489D5D</paraID>
      <start>138</start>
      <end>138</end>
      <status>modified</status>
      <modifiedWord/>
      <trackRevisions>false</trackRevisions>
    </reviewItem>
    <reviewItem>
      <errorID>d3134ab0-5352-42b7-822c-7aa643416cb8</errorID>
      <errorWord>）</errorWord>
      <group>L1_AI</group>
      <groupName>深度校对</groupName>
      <ability>L2_AI_Punc</ability>
      <abilityName>标点纠错</abilityName>
      <candidateList>
        <item/>
      </candidateList>
      <explain/>
      <paraID>52489D5D</paraID>
      <start>140</start>
      <end>140</end>
      <status>modified</status>
      <modifiedWord/>
      <trackRevisions>false</trackRevisions>
    </reviewItem>
    <reviewItem>
      <errorID>45a9cfac-b60d-4382-8f7b-42a773c58353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46C9E488</paraID>
      <start>0</start>
      <end>2</end>
      <status>modified</status>
      <modifiedWord>2.</modifiedWord>
      <trackRevisions>false</trackRevisions>
    </reviewItem>
    <reviewItem>
      <errorID>ea8da6d0-707d-4427-852a-899401c691c6</errorID>
      <errorWord>涉及到</errorWord>
      <group>L1_Grammar</group>
      <groupName>语法问题</groupName>
      <ability>L2_Grammar</ability>
      <abilityName>语法错误</abilityName>
      <candidateList>
        <item>涉及</item>
      </candidateList>
      <explain>〈动〉牵涉到；关联到：案子～好几个人｜这个问题～面很广。</explain>
      <paraID>46C9E488</paraID>
      <start>24</start>
      <end>26</end>
      <status>modified</status>
      <modifiedWord>涉及</modifiedWord>
      <trackRevisions>false</trackRevisions>
    </reviewItem>
    <reviewItem>
      <errorID>e21196eb-c337-4e30-81a5-9d479cf5e1bf</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23E7E85F</paraID>
      <start>0</start>
      <end>3</end>
      <status>modified</status>
      <modifiedWord>（一）</modifiedWord>
      <trackRevisions>false</trackRevisions>
    </reviewItem>
    <reviewItem>
      <errorID>d1362572-951d-4a66-827e-ee70eb4adc3c</errorID>
      <errorWord>，</errorWord>
      <group>L1_AI</group>
      <groupName>深度校对</groupName>
      <ability>L2_AI_Punc</ability>
      <abilityName>标点纠错</abilityName>
      <candidateList>
        <item>、</item>
      </candidateList>
      <explain/>
      <paraID>622CDB85</paraID>
      <start>10</start>
      <end>11</end>
      <status>modified</status>
      <modifiedWord>、</modifiedWord>
      <trackRevisions>false</trackRevisions>
    </reviewItem>
    <reviewItem>
      <errorID>44b3a734-4dfa-4059-a057-bf07df8c8c36</errorID>
      <errorWord>法律、法规</errorWord>
      <group>L1_Word</group>
      <groupName>字词问题</groupName>
      <ability>L2_Typo</ability>
      <abilityName>字词错误</abilityName>
      <candidateList>
        <item>法律法规</item>
      </candidateList>
      <explain/>
      <paraID>7300B483</paraID>
      <start>61</start>
      <end>65</end>
      <status>modified</status>
      <modifiedWord>法律法规</modifiedWord>
      <trackRevisions>false</trackRevisions>
    </reviewItem>
    <reviewItem>
      <errorID>2d24428a-c215-480e-9476-903f5abe1075</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7D19E9C4</paraID>
      <start>0</start>
      <end>3</end>
      <status>modified</status>
      <modifiedWord>（二）</modifiedWord>
      <trackRevisions>false</trackRevisions>
    </reviewItem>
    <reviewItem>
      <errorID>d2200fb0-7f13-4b15-a085-630398695b95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6629FEDC</paraID>
      <start>0</start>
      <end>2</end>
      <status>modified</status>
      <modifiedWord>1.</modifiedWord>
      <trackRevisions>false</trackRevisions>
    </reviewItem>
    <reviewItem>
      <errorID>b8167e05-aa34-4a3c-8806-e51ae4e4f405</errorID>
      <errorWord>产品</errorWord>
      <group>L1_AI</group>
      <groupName>深度校对</groupName>
      <ability>L2_AI_Grammar</ability>
      <abilityName>语法纠错</abilityName>
      <candidateList>
        <item>加工产品</item>
      </candidateList>
      <explain/>
      <paraID>138674FF</paraID>
      <start>59</start>
      <end>63</end>
      <status>modified</status>
      <modifiedWord>加工产品</modifiedWord>
      <trackRevisions>false</trackRevisions>
    </reviewItem>
    <reviewItem>
      <errorID>d76e3520-a8e9-4207-bf52-15e3031ff2c2</errorID>
      <errorWord>规范</errorWord>
      <group>L1_Grammar</group>
      <groupName>语法问题</groupName>
      <ability>L2_Grammar</ability>
      <abilityName>语法错误</abilityName>
      <candidateList>
        <item>完善</item>
      </candidateList>
      <explain>“规范～提出”搭配不当，建议修改为“完善～提出”。</explain>
      <paraID>138674FF</paraID>
      <start>205</start>
      <end>207</end>
      <status>ignored</status>
      <modifiedWord/>
      <trackRevisions>false</trackRevisions>
    </reviewItem>
    <reviewItem>
      <errorID>ee702b0d-e005-44b0-b5e5-95a1709e9a58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3530E7F</paraID>
      <start>0</start>
      <end>2</end>
      <status>modified</status>
      <modifiedWord>2.</modifiedWord>
      <trackRevisions>false</trackRevisions>
    </reviewItem>
    <reviewItem>
      <errorID>9fa69cf0-0c09-4950-9064-f2d2a3f1a5d2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A35CE82</paraID>
      <start>0</start>
      <end>2</end>
      <status>modified</status>
      <modifiedWord>3.</modifiedWord>
      <trackRevisions>false</trackRevisions>
    </reviewItem>
    <reviewItem>
      <errorID>0e8c0b01-7927-4005-b7d7-f81dcae62ee4</errorID>
      <errorWord>4.0～60.0%</errorWord>
      <group>L1_Knowledge</group>
      <groupName>知识性问题</groupName>
      <ability>L2_Knowledge</ability>
      <abilityName>其他知识</abilityName>
      <candidateList>
        <item>4.0%～60.0%</item>
      </candidateList>
      <explain>1. “4.0～60.0%”中的单位“%”仅出现在后一个数字上，容易引起歧义；根据《现代汉语标点符号数字用法规范手册》，数字表示范围两边需要使用统一的格式。2. 根据标点国标 4.13 中的规则，数字、时间或地域连接符应使用（视觉上更长的）“—”或“～”。</explain>
      <paraID>4D400095</paraID>
      <start>262</start>
      <end>272</end>
      <status>modified</status>
      <modifiedWord>4.0%～60.0%</modifiedWord>
      <trackRevisions>false</trackRevisions>
    </reviewItem>
    <reviewItem>
      <errorID>0836f53e-e523-494f-9eca-307dcf0e9f78</errorID>
      <errorWord>主要</errorWord>
      <group>L1_AI</group>
      <groupName>深度校对</groupName>
      <ability>L2_AI_Punc</ability>
      <abilityName>标点纠错</abilityName>
      <candidateList>
        <item>. 主要</item>
      </candidateList>
      <explain/>
      <paraID>4D7698E9</paraID>
      <start>1</start>
      <end>3</end>
      <status>ignored</status>
      <modifiedWord/>
      <trackRevisions>false</trackRevisions>
    </reviewItem>
    <reviewItem>
      <errorID>e00969d1-291f-4c6e-b085-2f00f91cb8b0</errorID>
      <errorWord>大大</errorWord>
      <group>L1_Grammar</group>
      <groupName>语法问题</groupName>
      <ability>L2_Grammar</ability>
      <abilityName>语法错误</abilityName>
      <candidateList>
        <item>大幅</item>
      </candidateList>
      <explain>“大大～提升”搭配不当，建议修改为“大幅～提升”。</explain>
      <paraID>65586EF6</paraID>
      <start>235</start>
      <end>237</end>
      <status>modified</status>
      <modifiedWord>大幅</modifiedWord>
      <trackRevisions>false</trackRevisions>
    </reviewItem>
    <reviewItem>
      <errorID>3a62b09e-db8a-451e-b160-b5f90aa2de06</errorID>
      <errorWord>仪器设备有</errorWord>
      <group>L1_AI</group>
      <groupName>深度校对</groupName>
      <ability>L2_AI_Word</ability>
      <abilityName>字词纠错</abilityName>
      <candidateList>
        <item>仪器设备</item>
      </candidateList>
      <explain/>
      <paraID>7B004D02</paraID>
      <start>4</start>
      <end>8</end>
      <status>modified</status>
      <modifiedWord>仪器设备</modifiedWord>
      <trackRevisions>false</trackRevisions>
    </reviewItem>
    <reviewItem>
      <errorID>bd72c9cb-e5cf-4a8b-8232-4903e90a1b09</errorID>
      <errorWord>vol之间</errorWord>
      <group>L1_AI</group>
      <groupName>深度校对</groupName>
      <ability>L2_AI_Grammar</ability>
      <abilityName>语法纠错</abilityName>
      <candidateList>
        <item>vol</item>
      </candidateList>
      <explain/>
      <paraID>6DC13216</paraID>
      <start>83</start>
      <end>86</end>
      <status>modified</status>
      <modifiedWord>vol</modifiedWord>
      <trackRevisions>false</trackRevisions>
    </reviewItem>
    <reviewItem>
      <errorID>6ce66781-24dc-4c24-9027-85d9af455a26</errorID>
      <errorWord>、</errorWord>
      <group>L1_AI</group>
      <groupName>深度校对</groupName>
      <ability>L2_AI_Punc</ability>
      <abilityName>标点纠错</abilityName>
      <candidateList>
        <item>，</item>
      </candidateList>
      <explain/>
      <paraID>7ABF4AD0</paraID>
      <start>67</start>
      <end>68</end>
      <status>modified</status>
      <modifiedWord>，</modifiedWord>
      <trackRevisions>false</trackRevisions>
    </reviewItem>
    <reviewItem>
      <errorID>5c532c2b-b554-4159-9e19-8b82f4c5126c</errorID>
      <errorWord>考察</errorWord>
      <group>L1_Word</group>
      <groupName>字词问题</groupName>
      <ability>L2_Typo</ability>
      <abilityName>字词错误</abilityName>
      <candidateList>
        <item>考查</item>
      </candidateList>
      <explain>〈动〉用一定的标准来检查衡量（行为、活动）：～学生的学业成绩。</explain>
      <paraID>2850D2D2</paraID>
      <start>48</start>
      <end>50</end>
      <status>modified</status>
      <modifiedWord>考查</modifiedWord>
      <trackRevisions>false</trackRevisions>
    </reviewItem>
    <reviewItem>
      <errorID>b0dfc2b5-dd15-4855-8382-0bce5d1ae44b</errorID>
      <errorWord>配置</errorWord>
      <group>L1_Word</group>
      <groupName>字词问题</groupName>
      <ability>L2_Typo</ability>
      <abilityName>字词错误</abilityName>
      <candidateList>
        <item>配制</item>
      </candidateList>
      <explain/>
      <paraID>293491F9</paraID>
      <start>46</start>
      <end>48</end>
      <status>modified</status>
      <modifiedWord>配制</modifiedWord>
      <trackRevisions>false</trackRevisions>
    </reviewItem>
    <reviewItem>
      <errorID>f16fd798-3fdd-4da5-be87-60b30d8d3090</errorID>
      <errorWord>羟基自由基</errorWord>
      <group>L1_Word</group>
      <groupName>字词问题</groupName>
      <ability>L2_Typo</ability>
      <abilityName>字词错误</abilityName>
      <candidateList>
        <item>羟自由基</item>
      </candidateList>
      <explain/>
      <paraID>527C58E0</paraID>
      <start>6</start>
      <end>10</end>
      <status>modified</status>
      <modifiedWord>羟自由基</modifiedWord>
      <trackRevisions>false</trackRevisions>
    </reviewItem>
    <reviewItem>
      <errorID>f536b0ed-dc45-4aaf-933e-53e8286cc681</errorID>
      <errorWord>(</errorWord>
      <group>L1_Format</group>
      <groupName>格式问题</groupName>
      <ability>L2_HalfPunc</ability>
      <abilityName>全半角检查</abilityName>
      <candidateList>
        <item>（</item>
      </candidateList>
      <explain>文本全半角错误。</explain>
      <paraID>1775A644</paraID>
      <start>168</start>
      <end>169</end>
      <status>modified</status>
      <modifiedWord>（</modifiedWord>
      <trackRevisions>false</trackRevisions>
    </reviewItem>
    <reviewItem>
      <errorID>df75daa0-89f3-4e17-9c08-369398c705da</errorID>
      <errorWord>羟基自由基</errorWord>
      <group>L1_Word</group>
      <groupName>字词问题</groupName>
      <ability>L2_Typo</ability>
      <abilityName>字词错误</abilityName>
      <candidateList>
        <item>羟自由基</item>
      </candidateList>
      <explain/>
      <paraID>1775A644</paraID>
      <start>172</start>
      <end>176</end>
      <status>modified</status>
      <modifiedWord>羟自由基</modifiedWord>
      <trackRevisions>false</trackRevisions>
    </reviewItem>
    <reviewItem>
      <errorID>397bac7a-bc46-43e9-8006-f426d87c94df</errorID>
      <errorWord>羟基自由基</errorWord>
      <group>L1_Word</group>
      <groupName>字词问题</groupName>
      <ability>L2_Typo</ability>
      <abilityName>字词错误</abilityName>
      <candidateList>
        <item>羟自由基</item>
      </candidateList>
      <explain/>
      <paraID>17784BBB</paraID>
      <start>0</start>
      <end>4</end>
      <status>modified</status>
      <modifiedWord>羟自由基</modifiedWord>
      <trackRevisions>false</trackRevisions>
    </reviewItem>
    <reviewItem>
      <errorID>7f275c7d-d401-4c99-b2f3-1db7d3d84fa3</errorID>
      <errorWord>：</errorWord>
      <group>L1_Format</group>
      <groupName>格式问题</groupName>
      <ability>L2_HalfPunc</ability>
      <abilityName>全半角检查</abilityName>
      <candidateList>
        <item>:</item>
      </candidateList>
      <explain>文本全半角错误。</explain>
      <paraID>3A5CF5B5</paraID>
      <start>110</start>
      <end>111</end>
      <status>modified</status>
      <modifiedWord>:</modifiedWord>
      <trackRevisions>false</trackRevisions>
    </reviewItem>
    <reviewItem>
      <errorID>69b6b895-c55e-40de-b81c-21e835f8025d</errorID>
      <errorWord>(</errorWord>
      <group>L1_Format</group>
      <groupName>格式问题</groupName>
      <ability>L2_HalfPunc</ability>
      <abilityName>全半角检查</abilityName>
      <candidateList>
        <item>（</item>
      </candidateList>
      <explain>文本全半角错误。</explain>
      <paraID>3A5CF5B5</paraID>
      <start>158</start>
      <end>159</end>
      <status>modified</status>
      <modifiedWord>（</modifiedWord>
      <trackRevisions>false</trackRevisions>
    </reviewItem>
    <reviewItem>
      <errorID>b474e8d7-4f4a-4b9a-b3e0-a627f88cbdec</errorID>
      <errorWord>)</errorWord>
      <group>L1_Format</group>
      <groupName>格式问题</groupName>
      <ability>L2_HalfPunc</ability>
      <abilityName>全半角检查</abilityName>
      <candidateList>
        <item>）</item>
      </candidateList>
      <explain>文本全半角错误。</explain>
      <paraID>3A5CF5B5</paraID>
      <start>163</start>
      <end>164</end>
      <status>modified</status>
      <modifiedWord>）</modifiedWord>
      <trackRevisions>false</trackRevisions>
    </reviewItem>
    <reviewItem>
      <errorID>ca8ded43-ef23-4259-acf6-e428b66007bd</errorID>
      <errorWord>(</errorWord>
      <group>L1_Format</group>
      <groupName>格式问题</groupName>
      <ability>L2_HalfPunc</ability>
      <abilityName>全半角检查</abilityName>
      <candidateList>
        <item>（</item>
      </candidateList>
      <explain>文本全半角错误。</explain>
      <paraID>3A5CF5B5</paraID>
      <start>214</start>
      <end>215</end>
      <status>modified</status>
      <modifiedWord>（</modifiedWord>
      <trackRevisions>false</trackRevisions>
    </reviewItem>
    <reviewItem>
      <errorID>806e81f8-030e-4d98-8863-121cb50420c0</errorID>
      <errorWord>)</errorWord>
      <group>L1_Format</group>
      <groupName>格式问题</groupName>
      <ability>L2_HalfPunc</ability>
      <abilityName>全半角检查</abilityName>
      <candidateList>
        <item>）</item>
      </candidateList>
      <explain>文本全半角错误。</explain>
      <paraID>3A5CF5B5</paraID>
      <start>225</start>
      <end>226</end>
      <status>modified</status>
      <modifiedWord>）</modifiedWord>
      <trackRevisions>false</trackRevisions>
    </reviewItem>
    <reviewItem>
      <errorID>dc01ee83-16dd-4fb8-9c16-1e67b96dafd4</errorID>
      <errorWord>(</errorWord>
      <group>L1_Format</group>
      <groupName>格式问题</groupName>
      <ability>L2_HalfPunc</ability>
      <abilityName>全半角检查</abilityName>
      <candidateList>
        <item>（</item>
      </candidateList>
      <explain>文本全半角错误。</explain>
      <paraID>1B4AFBCB</paraID>
      <start>110</start>
      <end>111</end>
      <status>modified</status>
      <modifiedWord>（</modifiedWord>
      <trackRevisions>false</trackRevisions>
    </reviewItem>
    <reviewItem>
      <errorID>21e9da15-c4b1-4e8f-9cab-18d1fc89ef03</errorID>
      <errorWord>)</errorWord>
      <group>L1_Format</group>
      <groupName>格式问题</groupName>
      <ability>L2_HalfPunc</ability>
      <abilityName>全半角检查</abilityName>
      <candidateList>
        <item>）</item>
      </candidateList>
      <explain>文本全半角错误。</explain>
      <paraID>1B4AFBCB</paraID>
      <start>112</start>
      <end>113</end>
      <status>modified</status>
      <modifiedWord>）</modifiedWord>
      <trackRevisions>false</trackRevisions>
    </reviewItem>
    <reviewItem>
      <errorID>21ea5e25-4d72-4873-9ddc-fd7aa0cac66c</errorID>
      <errorWord>(</errorWord>
      <group>L1_Format</group>
      <groupName>格式问题</groupName>
      <ability>L2_HalfPunc</ability>
      <abilityName>全半角检查</abilityName>
      <candidateList>
        <item>（</item>
      </candidateList>
      <explain>文本全半角错误。</explain>
      <paraID>1B4AFBCB</paraID>
      <start>137</start>
      <end>138</end>
      <status>modified</status>
      <modifiedWord>（</modifiedWord>
      <trackRevisions>false</trackRevisions>
    </reviewItem>
    <reviewItem>
      <errorID>abb6fb2a-8a36-44b9-a8bc-cff31f99e08e</errorID>
      <errorWord>)</errorWord>
      <group>L1_Format</group>
      <groupName>格式问题</groupName>
      <ability>L2_HalfPunc</ability>
      <abilityName>全半角检查</abilityName>
      <candidateList>
        <item>）</item>
      </candidateList>
      <explain>文本全半角错误。</explain>
      <paraID>1B4AFBCB</paraID>
      <start>139</start>
      <end>140</end>
      <status>modified</status>
      <modifiedWord>）</modifiedWord>
      <trackRevisions>false</trackRevisions>
    </reviewItem>
    <reviewItem>
      <errorID>cf063a26-5641-47b8-b07c-0a4dd79ddf1f</errorID>
      <errorWord>,</errorWord>
      <group>L1_Format</group>
      <groupName>格式问题</groupName>
      <ability>L2_HalfPunc</ability>
      <abilityName>全半角检查</abilityName>
      <candidateList>
        <item>，</item>
      </candidateList>
      <explain>文本全半角错误。</explain>
      <paraID>44050390</paraID>
      <start>27</start>
      <end>28</end>
      <status>modified</status>
      <modifiedWord>，</modifiedWord>
      <trackRevisions>false</trackRevisions>
    </reviewItem>
    <reviewItem>
      <errorID>9e253395-4c29-4aa7-90e8-b2034dcb9cc5</errorID>
      <errorWord>起</errorWord>
      <group>L1_Word</group>
      <groupName>字词问题</groupName>
      <ability>L2_Typo</ability>
      <abilityName>字词错误</abilityName>
      <candidateList>
        <item>其</item>
      </candidateList>
      <explain>存在发音相同字词的误用。</explain>
      <paraID>44050390</paraID>
      <start>297</start>
      <end>298</end>
      <status>modified</status>
      <modifiedWord>其</modifiedWord>
      <trackRevisions>false</trackRevisions>
    </reviewItem>
    <reviewItem>
      <errorID>c1d484c8-ab78-4268-8be9-b067e30d4c56</errorID>
      <errorWord>不不同</errorWord>
      <group>L1_Word</group>
      <groupName>字词问题</groupName>
      <ability>L2_Typo</ability>
      <abilityName>字词错误</abilityName>
      <candidateList>
        <item>不同</item>
      </candidateList>
      <explain/>
      <paraID>4076FFE6</paraID>
      <start>5</start>
      <end>7</end>
      <status>modified</status>
      <modifiedWord>不同</modifiedWord>
      <trackRevisions>false</trackRevisions>
    </reviewItem>
    <reviewItem>
      <errorID>8f580a70-3058-4eb6-a7d4-56ba67f015a5</errorID>
      <errorWord>羟基自由基</errorWord>
      <group>L1_Word</group>
      <groupName>字词问题</groupName>
      <ability>L2_Typo</ability>
      <abilityName>字词错误</abilityName>
      <candidateList>
        <item>羟自由基</item>
      </candidateList>
      <explain/>
      <paraID>4076FFE6</paraID>
      <start>24</start>
      <end>28</end>
      <status>modified</status>
      <modifiedWord>羟自由基</modifiedWord>
      <trackRevisions>false</trackRevisions>
    </reviewItem>
    <reviewItem>
      <errorID>13bf3394-5b6e-4f96-b94f-1306df9730cb</errorID>
      <errorWord>羟基自由基</errorWord>
      <group>L1_Word</group>
      <groupName>字词问题</groupName>
      <ability>L2_Typo</ability>
      <abilityName>字词错误</abilityName>
      <candidateList>
        <item>羟自由基</item>
      </candidateList>
      <explain/>
      <paraID>39236274</paraID>
      <start>21</start>
      <end>25</end>
      <status>modified</status>
      <modifiedWord>羟自由基</modifiedWord>
      <trackRevisions>false</trackRevisions>
    </reviewItem>
    <reviewItem>
      <errorID>0aa55a41-d505-4e60-a636-6b85ca618c56</errorID>
      <errorWord>羟基自由基</errorWord>
      <group>L1_Word</group>
      <groupName>字词问题</groupName>
      <ability>L2_Typo</ability>
      <abilityName>字词错误</abilityName>
      <candidateList>
        <item>羟自由基</item>
      </candidateList>
      <explain/>
      <paraID>39236274</paraID>
      <start>75</start>
      <end>79</end>
      <status>modified</status>
      <modifiedWord>羟自由基</modifiedWord>
      <trackRevisions>false</trackRevisions>
    </reviewItem>
    <reviewItem>
      <errorID>c0895251-561f-4139-94d5-39b62d4bb823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1D84BDB5</paraID>
      <start>3</start>
      <end>4</end>
      <status>modified</status>
      <modifiedWord>—</modifiedWord>
      <trackRevisions>false</trackRevisions>
    </reviewItem>
    <reviewItem>
      <errorID>3b9775ca-9fe5-4040-9350-dee2a66ea044</errorID>
      <errorWord>羟基自由基</errorWord>
      <group>L1_Word</group>
      <groupName>字词问题</groupName>
      <ability>L2_Typo</ability>
      <abilityName>字词错误</abilityName>
      <candidateList>
        <item>羟自由基</item>
      </candidateList>
      <explain/>
      <paraID>1D84BDB5</paraID>
      <start>40</start>
      <end>44</end>
      <status>modified</status>
      <modifiedWord>羟自由基</modifiedWord>
      <trackRevisions>false</trackRevisions>
    </reviewItem>
    <reviewItem>
      <errorID>fd891e84-cab0-4510-8349-5ee6d76acf6e</errorID>
      <errorWord>羟基自由基</errorWord>
      <group>L1_Word</group>
      <groupName>字词问题</groupName>
      <ability>L2_Typo</ability>
      <abilityName>字词错误</abilityName>
      <candidateList>
        <item>羟自由基</item>
      </candidateList>
      <explain/>
      <paraID>1D84BDB5</paraID>
      <start>80</start>
      <end>84</end>
      <status>modified</status>
      <modifiedWord>羟自由基</modifiedWord>
      <trackRevisions>false</trackRevisions>
    </reviewItem>
    <reviewItem>
      <errorID>95531d5c-cd7d-4fca-9b81-c5bd569d7004</errorID>
      <errorWord>羟基自由基</errorWord>
      <group>L1_Word</group>
      <groupName>字词问题</groupName>
      <ability>L2_Typo</ability>
      <abilityName>字词错误</abilityName>
      <candidateList>
        <item>羟自由基</item>
      </candidateList>
      <explain/>
      <paraID>1D84BDB5</paraID>
      <start>133</start>
      <end>137</end>
      <status>modified</status>
      <modifiedWord>羟自由基</modifiedWord>
      <trackRevisions>false</trackRevisions>
    </reviewItem>
    <reviewItem>
      <errorID>23893ade-e00d-48e1-9ed7-72c658f9fb85</errorID>
      <errorWord>羟基自由基</errorWord>
      <group>L1_Word</group>
      <groupName>字词问题</groupName>
      <ability>L2_Typo</ability>
      <abilityName>字词错误</abilityName>
      <candidateList>
        <item>羟自由基</item>
      </candidateList>
      <explain/>
      <paraID>1D84BDB5</paraID>
      <start>186</start>
      <end>190</end>
      <status>modified</status>
      <modifiedWord>羟自由基</modifiedWord>
      <trackRevisions>false</trackRevisions>
    </reviewItem>
    <reviewItem>
      <errorID>a4490d83-c8fa-466c-aa3b-6c2f1a286752</errorID>
      <errorWord>羟基自由基</errorWord>
      <group>L1_Word</group>
      <groupName>字词问题</groupName>
      <ability>L2_Typo</ability>
      <abilityName>字词错误</abilityName>
      <candidateList>
        <item>羟自由基</item>
      </candidateList>
      <explain/>
      <paraID> 86E79C3</paraID>
      <start>30</start>
      <end>34</end>
      <status>modified</status>
      <modifiedWord>羟自由基</modifiedWord>
      <trackRevisions>false</trackRevisions>
    </reviewItem>
    <reviewItem>
      <errorID>fda54d44-6cda-4a95-a746-4219a1abd1da</errorID>
      <errorWord>羟基自由基</errorWord>
      <group>L1_Word</group>
      <groupName>字词问题</groupName>
      <ability>L2_Typo</ability>
      <abilityName>字词错误</abilityName>
      <candidateList>
        <item>羟自由基</item>
      </candidateList>
      <explain/>
      <paraID> 86E79C3</paraID>
      <start>82</start>
      <end>86</end>
      <status>modified</status>
      <modifiedWord>羟自由基</modifiedWord>
      <trackRevisions>false</trackRevisions>
    </reviewItem>
    <reviewItem>
      <errorID>b27c5689-725a-4c79-947c-ebc8223531d9</errorID>
      <errorWord>羟基自由基</errorWord>
      <group>L1_Word</group>
      <groupName>字词问题</groupName>
      <ability>L2_Typo</ability>
      <abilityName>字词错误</abilityName>
      <candidateList>
        <item>羟自由基</item>
      </candidateList>
      <explain/>
      <paraID> 86E79C3</paraID>
      <start>155</start>
      <end>159</end>
      <status>modified</status>
      <modifiedWord>羟自由基</modifiedWord>
      <trackRevisions>false</trackRevisions>
    </reviewItem>
    <reviewItem>
      <errorID>39b49559-1692-42ed-b385-352f2e73b92b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1141D960</paraID>
      <start>3</start>
      <end>4</end>
      <status>modified</status>
      <modifiedWord>—</modifiedWord>
      <trackRevisions>false</trackRevisions>
    </reviewItem>
    <reviewItem>
      <errorID>d12d0c17-d159-47fd-a8cc-6fb033e1fe23</errorID>
      <errorWord>羟基自由基</errorWord>
      <group>L1_Word</group>
      <groupName>字词问题</groupName>
      <ability>L2_Typo</ability>
      <abilityName>字词错误</abilityName>
      <candidateList>
        <item>羟自由基</item>
      </candidateList>
      <explain/>
      <paraID>1141D960</paraID>
      <start>30</start>
      <end>34</end>
      <status>modified</status>
      <modifiedWord>羟自由基</modifiedWord>
      <trackRevisions>false</trackRevisions>
    </reviewItem>
    <reviewItem>
      <errorID>9f08511f-fae9-47d0-8a45-613ab01ecaf3</errorID>
      <errorWord>羟基自由基</errorWord>
      <group>L1_Word</group>
      <groupName>字词问题</groupName>
      <ability>L2_Typo</ability>
      <abilityName>字词错误</abilityName>
      <candidateList>
        <item>羟自由基</item>
      </candidateList>
      <explain/>
      <paraID>1141D960</paraID>
      <start>84</start>
      <end>88</end>
      <status>modified</status>
      <modifiedWord>羟自由基</modifiedWord>
      <trackRevisions>false</trackRevisions>
    </reviewItem>
    <reviewItem>
      <errorID>7acec7a9-c04b-4d42-aa2c-b375a657930d</errorID>
      <errorWord>由</errorWord>
      <group>L1_Word</group>
      <groupName>字词问题</groupName>
      <ability>L2_Typo</ability>
      <abilityName>字词错误</abilityName>
      <candidateList>
        <item>有</item>
      </candidateList>
      <explain>〈书〉同“又”▲：三十～八年。</explain>
      <paraID>1141D960</paraID>
      <start>111</start>
      <end>112</end>
      <status>modified</status>
      <modifiedWord>有</modifiedWord>
      <trackRevisions>false</trackRevisions>
    </reviewItem>
    <reviewItem>
      <errorID>da701e06-fb92-4282-a0a8-77f093344e0a</errorID>
      <errorWord>羟基自由基</errorWord>
      <group>L1_Word</group>
      <groupName>字词问题</groupName>
      <ability>L2_Typo</ability>
      <abilityName>字词错误</abilityName>
      <candidateList>
        <item>羟自由基</item>
      </candidateList>
      <explain/>
      <paraID>1141D960</paraID>
      <start>140</start>
      <end>144</end>
      <status>modified</status>
      <modifiedWord>羟自由基</modifiedWord>
      <trackRevisions>false</trackRevisions>
    </reviewItem>
    <reviewItem>
      <errorID>89a34e68-7692-4ab4-a4c8-21eeb5acba93</errorID>
      <errorWord>羟基自由基</errorWord>
      <group>L1_Word</group>
      <groupName>字词问题</groupName>
      <ability>L2_Typo</ability>
      <abilityName>字词错误</abilityName>
      <candidateList>
        <item>羟自由基</item>
      </candidateList>
      <explain/>
      <paraID>263CFFCF</paraID>
      <start>30</start>
      <end>34</end>
      <status>modified</status>
      <modifiedWord>羟自由基</modifiedWord>
      <trackRevisions>false</trackRevisions>
    </reviewItem>
    <reviewItem>
      <errorID>22a68537-7776-41a1-a1b7-43230cbf2f80</errorID>
      <errorWord>羟基自由基</errorWord>
      <group>L1_Word</group>
      <groupName>字词问题</groupName>
      <ability>L2_Typo</ability>
      <abilityName>字词错误</abilityName>
      <candidateList>
        <item>羟自由基</item>
      </candidateList>
      <explain/>
      <paraID>263CFFCF</paraID>
      <start>94</start>
      <end>98</end>
      <status>modified</status>
      <modifiedWord>羟自由基</modifiedWord>
      <trackRevisions>false</trackRevisions>
    </reviewItem>
    <reviewItem>
      <errorID>cc0c0fb0-a075-4ae6-85e9-730db787441c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6D148C9</paraID>
      <start>3</start>
      <end>4</end>
      <status>modified</status>
      <modifiedWord>—</modifiedWord>
      <trackRevisions>false</trackRevisions>
    </reviewItem>
    <reviewItem>
      <errorID>c6ee5883-1c0e-4f55-a948-940606002fce</errorID>
      <errorWord>.</errorWord>
      <group>L1_Format</group>
      <groupName>格式问题</groupName>
      <ability>L2_HalfPunc</ability>
      <abilityName>全半角检查</abilityName>
      <candidateList>
        <item>。</item>
      </candidateList>
      <explain>文本全半角错误。</explain>
      <paraID> 6D148C9</paraID>
      <start>177</start>
      <end>178</end>
      <status>modified</status>
      <modifiedWord>。</modifiedWord>
      <trackRevisions>false</trackRevisions>
    </reviewItem>
    <reviewItem>
      <errorID>20167c94-c4a9-4c3d-abdf-0bca2e373212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6C4A89AA</paraID>
      <start>3</start>
      <end>4</end>
      <status>modified</status>
      <modifiedWord>—</modifiedWord>
      <trackRevisions>false</trackRevisions>
    </reviewItem>
    <reviewItem>
      <errorID>3caa153b-de67-4bae-906c-1e83a78f6a72</errorID>
      <errorWord>.</errorWord>
      <group>L1_Format</group>
      <groupName>格式问题</groupName>
      <ability>L2_HalfPunc</ability>
      <abilityName>全半角检查</abilityName>
      <candidateList>
        <item>。</item>
      </candidateList>
      <explain>文本全半角错误。</explain>
      <paraID>6C4A89AA</paraID>
      <start>230</start>
      <end>231</end>
      <status>modified</status>
      <modifiedWord>。</modifiedWord>
      <trackRevisions>false</trackRevisions>
    </reviewItem>
    <reviewItem>
      <errorID>042dc1a2-7f60-4b76-ade1-37d4fbf3825f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3BD5AC2F</paraID>
      <start>3</start>
      <end>4</end>
      <status>modified</status>
      <modifiedWord>—</modifiedWord>
      <trackRevisions>false</trackRevisions>
    </reviewItem>
    <reviewItem>
      <errorID>f64662ce-b647-4156-b195-186877d28008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74CAF9A0</paraID>
      <start>3</start>
      <end>4</end>
      <status>modified</status>
      <modifiedWord>—</modifiedWord>
      <trackRevisions>false</trackRevisions>
    </reviewItem>
    <reviewItem>
      <errorID>68cc093f-360b-4a0f-b97b-d2e4185c39f9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68A17696</paraID>
      <start>3</start>
      <end>4</end>
      <status>modified</status>
      <modifiedWord>—</modifiedWord>
      <trackRevisions>false</trackRevisions>
    </reviewItem>
    <reviewItem>
      <errorID>48b53f6a-8523-430b-bc6e-b05364fdee32</errorID>
      <errorWord>显著性</errorWord>
      <group>L1_Word</group>
      <groupName>字词问题</groupName>
      <ability>L2_Typo</ability>
      <abilityName>字词错误</abilityName>
      <candidateList>
        <item>显著</item>
      </candidateList>
      <explain/>
      <paraID>68A17696</paraID>
      <start>149</start>
      <end>151</end>
      <status>modified</status>
      <modifiedWord>显著</modifiedWord>
      <trackRevisions>false</trackRevisions>
    </reviewItem>
    <reviewItem>
      <errorID>a6729ed5-c194-46c7-830a-a51431502001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1C64405F</paraID>
      <start>3</start>
      <end>4</end>
      <status>modified</status>
      <modifiedWord>—</modifiedWord>
      <trackRevisions>false</trackRevisions>
    </reviewItem>
    <reviewItem>
      <errorID>192a53e6-6748-43c2-a5b4-840e6c4e4cab</errorID>
      <errorWord>显著性</errorWord>
      <group>L1_Word</group>
      <groupName>字词问题</groupName>
      <ability>L2_Typo</ability>
      <abilityName>字词错误</abilityName>
      <candidateList>
        <item>显著</item>
      </candidateList>
      <explain/>
      <paraID>4D062C2A</paraID>
      <start>86</start>
      <end>88</end>
      <status>modified</status>
      <modifiedWord>显著</modifiedWord>
      <trackRevisions>false</trackRevisions>
    </reviewItem>
    <reviewItem>
      <errorID>8f2587a4-9ad6-4e0a-8c1a-2eaa4d1a7101</errorID>
      <errorWord>约深</errorWord>
      <group>L1_Word</group>
      <groupName>字词问题</groupName>
      <ability>L2_Typo</ability>
      <abilityName>字词错误</abilityName>
      <candidateList>
        <item>越深</item>
      </candidateList>
      <explain/>
      <paraID> AB2D2AB</paraID>
      <start>142</start>
      <end>144</end>
      <status>modified</status>
      <modifiedWord>越深</modifiedWord>
      <trackRevisions>false</trackRevisions>
    </reviewItem>
    <reviewItem>
      <errorID>02726c21-6302-415d-88bf-7aff91879cf2</errorID>
      <errorWord>呈先</errorWord>
      <group>L1_Word</group>
      <groupName>字词问题</groupName>
      <ability>L2_Typo</ability>
      <abilityName>字词错误</abilityName>
      <candidateList>
        <item>呈现</item>
      </candidateList>
      <explain/>
      <paraID> 948A34C</paraID>
      <start>57</start>
      <end>59</end>
      <status>modified</status>
      <modifiedWord>呈现</modifiedWord>
      <trackRevisions>false</trackRevisions>
    </reviewItem>
    <reviewItem>
      <errorID>a6beefbb-f9d7-4351-9728-d5069028eaab</errorID>
      <errorWord>时间是</errorWord>
      <group>L1_Word</group>
      <groupName>字词问题</groupName>
      <ability>L2_Typo</ability>
      <abilityName>字词错误</abilityName>
      <candidateList>
        <item>时间</item>
      </candidateList>
      <explain>〈名〉❶物质动动中的一种存在方式，由过去、现在、将来构成的连绵不断的系统。是物质的运动、变化的持续性、顺序性的表现。❷有起点和终点的一段时间：地球自转一周的～是二十四小时｜盖这么一所房子要多少～？❸时间里的某一点：现在的～是三点十五分。</explain>
      <paraID>1BAEA81D</paraID>
      <start>44</start>
      <end>46</end>
      <status>modified</status>
      <modifiedWord>时间</modifiedWord>
      <trackRevisions>false</trackRevisions>
    </reviewItem>
    <reviewItem>
      <errorID>47d1b9ae-83a0-4c84-b0f9-8c3b83c2b3b3</errorID>
      <errorWord>降是</errorWord>
      <group>L1_Word</group>
      <groupName>字词问题</groupName>
      <ability>L2_Typo</ability>
      <abilityName>字词错误</abilityName>
      <candidateList>
        <item>降</item>
      </candidateList>
      <explain>〈动〉❶投降：诱～｜～顺｜～将｜宁死不～。❷降伏；使驯服：～龙伏虎｜一物～一物。</explain>
      <paraID>1BAEA81D</paraID>
      <start>67</start>
      <end>68</end>
      <status>modified</status>
      <modifiedWord>降</modifiedWord>
      <trackRevisions>false</trackRevisions>
    </reviewItem>
    <reviewItem>
      <errorID>97a0aeb8-a62f-4a4a-86b9-529150d71780</errorID>
      <errorWord>羟基自由基</errorWord>
      <group>L1_Word</group>
      <groupName>字词问题</groupName>
      <ability>L2_Typo</ability>
      <abilityName>字词错误</abilityName>
      <candidateList>
        <item>羟自由基</item>
      </candidateList>
      <explain/>
      <paraID>40C1325E</paraID>
      <start>212</start>
      <end>216</end>
      <status>modified</status>
      <modifiedWord>羟自由基</modifiedWord>
      <trackRevisions>false</trackRevisions>
    </reviewItem>
    <reviewItem>
      <errorID>72b715cb-e57e-4d7b-a107-05e10aab9bc3</errorID>
      <errorWord>羟基自由基</errorWord>
      <group>L1_Word</group>
      <groupName>字词问题</groupName>
      <ability>L2_Typo</ability>
      <abilityName>字词错误</abilityName>
      <candidateList>
        <item>羟自由基</item>
      </candidateList>
      <explain/>
      <paraID>40C1325E</paraID>
      <start>264</start>
      <end>268</end>
      <status>modified</status>
      <modifiedWord>羟自由基</modifiedWord>
      <trackRevisions>false</trackRevisions>
    </reviewItem>
    <reviewItem>
      <errorID>3732db4f-30a4-4cf7-9be9-34ed78737247</errorID>
      <errorWord>非常的</errorWord>
      <group>L1_Word</group>
      <groupName>字词问题</groupName>
      <ability>L2_Typo</ability>
      <abilityName>字词错误</abilityName>
      <candidateList>
        <item>非常</item>
      </candidateList>
      <explain/>
      <paraID>40C1325E</paraID>
      <start>303</start>
      <end>305</end>
      <status>modified</status>
      <modifiedWord>非常</modifiedWord>
      <trackRevisions>false</trackRevisions>
    </reviewItem>
    <reviewItem>
      <errorID>8bfe46a8-a487-4370-b405-ee048fcc7e8e</errorID>
      <errorWord>法律、法规</errorWord>
      <group>L1_Word</group>
      <groupName>字词问题</groupName>
      <ability>L2_Typo</ability>
      <abilityName>字词错误</abilityName>
      <candidateList>
        <item>法律法规</item>
      </candidateList>
      <explain/>
      <paraID>3D741FCB</paraID>
      <start>8</start>
      <end>12</end>
      <status>modified</status>
      <modifiedWord>法律法规</modifiedWord>
      <trackRevisions>false</trackRevisions>
    </reviewItem>
    <reviewItem>
      <errorID>c6d3bbf6-0345-4269-8d0f-20053e69c6c5</errorID>
      <errorWord>法律、法规</errorWord>
      <group>L1_Word</group>
      <groupName>字词问题</groupName>
      <ability>L2_Typo</ability>
      <abilityName>字词错误</abilityName>
      <candidateList>
        <item>法律法规</item>
      </candidateList>
      <explain/>
      <paraID>2AF47555</paraID>
      <start>10</start>
      <end>14</end>
      <status>modified</status>
      <modifiedWord>法律法规</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78CFB2-0E11-4CB0-AFE2-51C59BDD7792}">
  <ds:schemaRefs/>
</ds:datastoreItem>
</file>

<file path=docProps/app.xml><?xml version="1.0" encoding="utf-8"?>
<Properties xmlns="http://schemas.openxmlformats.org/officeDocument/2006/extended-properties" xmlns:vt="http://schemas.openxmlformats.org/officeDocument/2006/docPropsVTypes">
  <Template>Normal</Template>
  <Company>GXQT</Company>
  <Pages>31</Pages>
  <Words>5625</Words>
  <Characters>6320</Characters>
  <Lines>155</Lines>
  <Paragraphs>43</Paragraphs>
  <TotalTime>1</TotalTime>
  <ScaleCrop>false</ScaleCrop>
  <LinksUpToDate>false</LinksUpToDate>
  <CharactersWithSpaces>6371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2021-02-22T02:49:00Z</dcterms:created>
  <dc:creator>12345678</dc:creator>
  <cp:lastModifiedBy>Better</cp:lastModifiedBy>
  <dcterms:modified xsi:type="dcterms:W3CDTF">2026-08-14T09:57:49Z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92D1402FFE39473492A4B99D4ED08664_13</vt:lpwstr>
  </property>
  <property fmtid="{D5CDD505-2E9C-101B-9397-08002B2CF9AE}" pid="4" name="KSOTemplateDocerSaveRecord">
    <vt:lpwstr>eyJoZGlkIjoiNjkyMTI5YmM0YzdhN2UwZWQ0YzkxMTQ1ZWZjNWYyZDYiLCJ1c2VySWQiOiIzMTg4MTI4NjAifQ==</vt:lpwstr>
  </property>
</Properties>
</file>